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F5FE1" w14:textId="0E93A010" w:rsidR="000534DA" w:rsidRPr="000534DA" w:rsidRDefault="000534DA" w:rsidP="000534DA">
      <w:pPr>
        <w:ind w:firstLine="567"/>
        <w:jc w:val="center"/>
        <w:rPr>
          <w:rFonts w:ascii="Times New Roman" w:hAnsi="Times New Roman" w:cs="Times New Roman"/>
          <w:b/>
          <w:bCs/>
          <w:sz w:val="28"/>
          <w:szCs w:val="28"/>
        </w:rPr>
      </w:pPr>
      <w:r w:rsidRPr="000534DA">
        <w:rPr>
          <w:rFonts w:ascii="Times New Roman" w:hAnsi="Times New Roman" w:cs="Times New Roman"/>
          <w:b/>
          <w:bCs/>
          <w:sz w:val="28"/>
          <w:szCs w:val="28"/>
        </w:rPr>
        <w:t xml:space="preserve">Пакет </w:t>
      </w:r>
      <w:r w:rsidRPr="000534DA">
        <w:rPr>
          <w:rFonts w:ascii="Times New Roman" w:hAnsi="Times New Roman" w:cs="Times New Roman"/>
          <w:b/>
          <w:bCs/>
          <w:sz w:val="28"/>
          <w:szCs w:val="28"/>
        </w:rPr>
        <w:t xml:space="preserve">замечаний и предложений </w:t>
      </w:r>
      <w:r w:rsidRPr="000534DA">
        <w:rPr>
          <w:rFonts w:ascii="Times New Roman" w:hAnsi="Times New Roman" w:cs="Times New Roman"/>
          <w:b/>
          <w:bCs/>
          <w:sz w:val="28"/>
          <w:szCs w:val="28"/>
        </w:rPr>
        <w:t>поправок к проекту Указа Президента РФ «Об утверждении Доктрины развития системы противодействия правонарушениям, совершаемым с использованием ИКТ»</w:t>
      </w:r>
    </w:p>
    <w:p w14:paraId="035F9E7F" w14:textId="77777777" w:rsidR="000534DA" w:rsidRDefault="000534DA" w:rsidP="000534DA">
      <w:pPr>
        <w:ind w:firstLine="567"/>
        <w:jc w:val="both"/>
        <w:rPr>
          <w:rFonts w:ascii="Times New Roman" w:hAnsi="Times New Roman" w:cs="Times New Roman"/>
          <w:b/>
          <w:bCs/>
        </w:rPr>
      </w:pPr>
    </w:p>
    <w:p w14:paraId="6DFDE42C" w14:textId="4508F303" w:rsidR="000534DA" w:rsidRPr="000534DA" w:rsidRDefault="000534DA" w:rsidP="000534DA">
      <w:pPr>
        <w:ind w:firstLine="567"/>
        <w:jc w:val="both"/>
        <w:rPr>
          <w:rFonts w:ascii="Times New Roman" w:hAnsi="Times New Roman" w:cs="Times New Roman"/>
          <w:b/>
          <w:bCs/>
        </w:rPr>
      </w:pPr>
      <w:r w:rsidRPr="000534DA">
        <w:rPr>
          <w:rFonts w:ascii="Times New Roman" w:hAnsi="Times New Roman" w:cs="Times New Roman"/>
          <w:b/>
          <w:bCs/>
        </w:rPr>
        <w:t>БЛОК I. СИСТЕМООБРАЗУЮЩИЕ ПОПРАВКИ</w:t>
      </w:r>
    </w:p>
    <w:p w14:paraId="402756FB" w14:textId="77777777" w:rsidR="000534DA" w:rsidRPr="000534DA" w:rsidRDefault="000534DA" w:rsidP="000534DA">
      <w:pPr>
        <w:ind w:firstLine="567"/>
        <w:jc w:val="both"/>
        <w:rPr>
          <w:rFonts w:ascii="Times New Roman" w:hAnsi="Times New Roman" w:cs="Times New Roman"/>
          <w:b/>
          <w:bCs/>
        </w:rPr>
      </w:pPr>
      <w:r w:rsidRPr="000534DA">
        <w:rPr>
          <w:rFonts w:ascii="Times New Roman" w:hAnsi="Times New Roman" w:cs="Times New Roman"/>
          <w:b/>
          <w:bCs/>
        </w:rPr>
        <w:t>Поправка 1. О правовых пределах применения Доктрины</w:t>
      </w:r>
    </w:p>
    <w:p w14:paraId="4040C3B5"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Локализация:</w:t>
      </w:r>
      <w:r w:rsidRPr="000534DA">
        <w:rPr>
          <w:rFonts w:ascii="Times New Roman" w:hAnsi="Times New Roman" w:cs="Times New Roman"/>
        </w:rPr>
        <w:t> Раздел I «Основные положения», дополнить новым абзацем после абзаца, определяющего этапы реализации.</w:t>
      </w:r>
    </w:p>
    <w:p w14:paraId="0FA0DF82"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Проблема.</w:t>
      </w:r>
      <w:r w:rsidRPr="000534DA">
        <w:rPr>
          <w:rFonts w:ascii="Times New Roman" w:hAnsi="Times New Roman" w:cs="Times New Roman"/>
        </w:rPr>
        <w:t> Пункт 3 проекта Указа предписывает органам власти руководствоваться Доктриной «в практической деятельности». Это создаёт риск применения неопределённых положений Доктрины как самостоятельного основания для ограничения прав граждан ещё до принятия профильных федеральных законов.</w:t>
      </w:r>
    </w:p>
    <w:p w14:paraId="29AB2F28"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Правовое основание.</w:t>
      </w:r>
      <w:r w:rsidRPr="000534DA">
        <w:rPr>
          <w:rFonts w:ascii="Times New Roman" w:hAnsi="Times New Roman" w:cs="Times New Roman"/>
        </w:rPr>
        <w:t> Ч. 3 ст. 55 Конституции РФ (ограничение прав — только федеральным законом); ст. 4 ФЗ № 172-ФЗ (документы стратегического планирования не подменяют нормативное регулирование).</w:t>
      </w:r>
    </w:p>
    <w:p w14:paraId="273CDC76"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Предлагаемая формулировка (дополнить):</w:t>
      </w:r>
    </w:p>
    <w:p w14:paraId="64E266EB" w14:textId="77777777" w:rsidR="000534DA" w:rsidRPr="000534DA" w:rsidRDefault="000534DA" w:rsidP="000534DA">
      <w:pPr>
        <w:ind w:firstLine="567"/>
        <w:jc w:val="both"/>
        <w:rPr>
          <w:rFonts w:ascii="Times New Roman" w:hAnsi="Times New Roman" w:cs="Times New Roman"/>
          <w:i/>
          <w:iCs/>
        </w:rPr>
      </w:pPr>
      <w:r w:rsidRPr="000534DA">
        <w:rPr>
          <w:rFonts w:ascii="Times New Roman" w:hAnsi="Times New Roman" w:cs="Times New Roman"/>
          <w:i/>
          <w:iCs/>
        </w:rPr>
        <w:t>«Положения настоящей Доктрины носят программно-целевой характер и не являются самостоятельным правовым основанием для ограничения прав и свобод человека и гражданина, обработки персональных данных, доступа к содержанию сообщений и иным сведениям, составляющим охраняемую законом тайну, приостановления или прекращения операций, блокирования счетов, абонентских номеров и учётных записей, деанонимизации пользователей, применения технических средств контроля и формирования криминалистических и иных учётов. Каждая такая мера вводится федеральным законом, отвечающим требованиям правовой определённости, необходимости и соразмерности.»</w:t>
      </w:r>
    </w:p>
    <w:p w14:paraId="5C932D38"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rPr>
        <w:t>Поправка 2. О самостоятельном разделе гарантий прав граждан</w:t>
      </w:r>
    </w:p>
    <w:p w14:paraId="153AB41C"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Локализация:</w:t>
      </w:r>
      <w:r w:rsidRPr="000534DA">
        <w:rPr>
          <w:rFonts w:ascii="Times New Roman" w:hAnsi="Times New Roman" w:cs="Times New Roman"/>
        </w:rPr>
        <w:t> Дополнить Доктрину новым разделом (например, разделом III¹ «Гарантии прав и свобод граждан при реализации Доктрины») либо включить перечень принципов в раздел III.</w:t>
      </w:r>
    </w:p>
    <w:p w14:paraId="081C45D4"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Проблема.</w:t>
      </w:r>
      <w:r w:rsidRPr="000534DA">
        <w:rPr>
          <w:rFonts w:ascii="Times New Roman" w:hAnsi="Times New Roman" w:cs="Times New Roman"/>
        </w:rPr>
        <w:t> Инструменты контроля (ЦТ, биометрия, обратное отслеживание, аналитика, ИИ) описаны детально, а гарантии — фрагментарно и декларативно. Отсутствует единый правозащитный контур.</w:t>
      </w:r>
    </w:p>
    <w:p w14:paraId="3FAF9D93"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Правовое основание.</w:t>
      </w:r>
      <w:r w:rsidRPr="000534DA">
        <w:rPr>
          <w:rFonts w:ascii="Times New Roman" w:hAnsi="Times New Roman" w:cs="Times New Roman"/>
        </w:rPr>
        <w:t> Ст. 2, 17, 18, 23, 24 Конституции РФ; ст. 5 ФЗ № 152-ФЗ (принципы обработки ПД).</w:t>
      </w:r>
    </w:p>
    <w:p w14:paraId="4F3CD5C9"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Предлагаемая формулировка (новый раздел, задачи):</w:t>
      </w:r>
    </w:p>
    <w:p w14:paraId="6BE26180" w14:textId="77777777" w:rsidR="000534DA" w:rsidRPr="000534DA" w:rsidRDefault="000534DA" w:rsidP="000534DA">
      <w:pPr>
        <w:ind w:firstLine="567"/>
        <w:jc w:val="both"/>
        <w:rPr>
          <w:rFonts w:ascii="Times New Roman" w:hAnsi="Times New Roman" w:cs="Times New Roman"/>
          <w:i/>
          <w:iCs/>
        </w:rPr>
      </w:pPr>
      <w:r w:rsidRPr="000534DA">
        <w:rPr>
          <w:rFonts w:ascii="Times New Roman" w:hAnsi="Times New Roman" w:cs="Times New Roman"/>
          <w:i/>
          <w:iCs/>
        </w:rPr>
        <w:t>«Реализация Доктрины на всех этапах и сценариях осуществляется на основе следующих гарантий:</w:t>
      </w:r>
    </w:p>
    <w:p w14:paraId="66C35167" w14:textId="77777777" w:rsidR="000534DA" w:rsidRPr="000534DA" w:rsidRDefault="000534DA" w:rsidP="000534DA">
      <w:pPr>
        <w:numPr>
          <w:ilvl w:val="0"/>
          <w:numId w:val="1"/>
        </w:numPr>
        <w:ind w:firstLine="567"/>
        <w:jc w:val="both"/>
        <w:rPr>
          <w:rFonts w:ascii="Times New Roman" w:hAnsi="Times New Roman" w:cs="Times New Roman"/>
          <w:i/>
          <w:iCs/>
        </w:rPr>
      </w:pPr>
      <w:r w:rsidRPr="000534DA">
        <w:rPr>
          <w:rFonts w:ascii="Times New Roman" w:hAnsi="Times New Roman" w:cs="Times New Roman"/>
          <w:i/>
          <w:iCs/>
        </w:rPr>
        <w:t>законность, необходимость и соразмерность любой меры воздействия;</w:t>
      </w:r>
    </w:p>
    <w:p w14:paraId="6E16B774" w14:textId="77777777" w:rsidR="000534DA" w:rsidRPr="000534DA" w:rsidRDefault="000534DA" w:rsidP="000534DA">
      <w:pPr>
        <w:numPr>
          <w:ilvl w:val="0"/>
          <w:numId w:val="1"/>
        </w:numPr>
        <w:ind w:firstLine="567"/>
        <w:jc w:val="both"/>
        <w:rPr>
          <w:rFonts w:ascii="Times New Roman" w:hAnsi="Times New Roman" w:cs="Times New Roman"/>
          <w:i/>
          <w:iCs/>
        </w:rPr>
      </w:pPr>
      <w:r w:rsidRPr="000534DA">
        <w:rPr>
          <w:rFonts w:ascii="Times New Roman" w:hAnsi="Times New Roman" w:cs="Times New Roman"/>
          <w:i/>
          <w:iCs/>
        </w:rPr>
        <w:lastRenderedPageBreak/>
        <w:t>закрытый (исчерпывающий) перечень целей обработки данных и запрет несовместимого вторичного использования;</w:t>
      </w:r>
    </w:p>
    <w:p w14:paraId="7888D193" w14:textId="77777777" w:rsidR="000534DA" w:rsidRPr="000534DA" w:rsidRDefault="000534DA" w:rsidP="000534DA">
      <w:pPr>
        <w:numPr>
          <w:ilvl w:val="0"/>
          <w:numId w:val="1"/>
        </w:numPr>
        <w:ind w:firstLine="567"/>
        <w:jc w:val="both"/>
        <w:rPr>
          <w:rFonts w:ascii="Times New Roman" w:hAnsi="Times New Roman" w:cs="Times New Roman"/>
          <w:i/>
          <w:iCs/>
        </w:rPr>
      </w:pPr>
      <w:r w:rsidRPr="000534DA">
        <w:rPr>
          <w:rFonts w:ascii="Times New Roman" w:hAnsi="Times New Roman" w:cs="Times New Roman"/>
          <w:i/>
          <w:iCs/>
        </w:rPr>
        <w:t>минимизация собираемых данных и установление конкретных сроков их хранения и гарантированного удаления;</w:t>
      </w:r>
    </w:p>
    <w:p w14:paraId="33DCFF18" w14:textId="77777777" w:rsidR="000534DA" w:rsidRPr="000534DA" w:rsidRDefault="000534DA" w:rsidP="000534DA">
      <w:pPr>
        <w:numPr>
          <w:ilvl w:val="0"/>
          <w:numId w:val="1"/>
        </w:numPr>
        <w:ind w:firstLine="567"/>
        <w:jc w:val="both"/>
        <w:rPr>
          <w:rFonts w:ascii="Times New Roman" w:hAnsi="Times New Roman" w:cs="Times New Roman"/>
          <w:i/>
          <w:iCs/>
        </w:rPr>
      </w:pPr>
      <w:r w:rsidRPr="000534DA">
        <w:rPr>
          <w:rFonts w:ascii="Times New Roman" w:hAnsi="Times New Roman" w:cs="Times New Roman"/>
          <w:i/>
          <w:iCs/>
        </w:rPr>
        <w:t>право гражданина быть уведомлённым о применённой к нему ограничительной мере, получить понятное объяснение её оснований, потребовать пересмотра решения с участием человека и обжаловать его;</w:t>
      </w:r>
    </w:p>
    <w:p w14:paraId="40331DF3" w14:textId="77777777" w:rsidR="000534DA" w:rsidRPr="000534DA" w:rsidRDefault="000534DA" w:rsidP="000534DA">
      <w:pPr>
        <w:numPr>
          <w:ilvl w:val="0"/>
          <w:numId w:val="1"/>
        </w:numPr>
        <w:ind w:firstLine="567"/>
        <w:jc w:val="both"/>
        <w:rPr>
          <w:rFonts w:ascii="Times New Roman" w:hAnsi="Times New Roman" w:cs="Times New Roman"/>
          <w:i/>
          <w:iCs/>
        </w:rPr>
      </w:pPr>
      <w:r w:rsidRPr="000534DA">
        <w:rPr>
          <w:rFonts w:ascii="Times New Roman" w:hAnsi="Times New Roman" w:cs="Times New Roman"/>
          <w:i/>
          <w:iCs/>
        </w:rPr>
        <w:t>право на возмещение вреда, причинённого незаконной или ошибочной мерой;</w:t>
      </w:r>
    </w:p>
    <w:p w14:paraId="0410D224" w14:textId="77777777" w:rsidR="000534DA" w:rsidRPr="000534DA" w:rsidRDefault="000534DA" w:rsidP="000534DA">
      <w:pPr>
        <w:numPr>
          <w:ilvl w:val="0"/>
          <w:numId w:val="1"/>
        </w:numPr>
        <w:ind w:firstLine="567"/>
        <w:jc w:val="both"/>
        <w:rPr>
          <w:rFonts w:ascii="Times New Roman" w:hAnsi="Times New Roman" w:cs="Times New Roman"/>
          <w:i/>
          <w:iCs/>
        </w:rPr>
      </w:pPr>
      <w:r w:rsidRPr="000534DA">
        <w:rPr>
          <w:rFonts w:ascii="Times New Roman" w:hAnsi="Times New Roman" w:cs="Times New Roman"/>
          <w:i/>
          <w:iCs/>
        </w:rPr>
        <w:t>презумпция правомерности поведения гражданина: бремя обоснования каждого ограничения возлагается на орган или организацию, его применившую.»</w:t>
      </w:r>
    </w:p>
    <w:p w14:paraId="145A60E9" w14:textId="77777777" w:rsidR="000534DA" w:rsidRPr="000534DA" w:rsidRDefault="000534DA" w:rsidP="000534DA">
      <w:pPr>
        <w:ind w:firstLine="567"/>
        <w:jc w:val="both"/>
        <w:rPr>
          <w:rFonts w:ascii="Times New Roman" w:hAnsi="Times New Roman" w:cs="Times New Roman"/>
          <w:b/>
          <w:bCs/>
        </w:rPr>
      </w:pPr>
      <w:r w:rsidRPr="000534DA">
        <w:rPr>
          <w:rFonts w:ascii="Times New Roman" w:hAnsi="Times New Roman" w:cs="Times New Roman"/>
          <w:b/>
          <w:bCs/>
        </w:rPr>
        <w:t>Поправка 3. Об инверсии презумпции подозрительности</w:t>
      </w:r>
    </w:p>
    <w:p w14:paraId="6A44761A"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Локализация:</w:t>
      </w:r>
      <w:r w:rsidRPr="000534DA">
        <w:rPr>
          <w:rFonts w:ascii="Times New Roman" w:hAnsi="Times New Roman" w:cs="Times New Roman"/>
        </w:rPr>
        <w:t> Раздел V, п. 2 (сценарий опережающего развития), абзац о принципе обеспечения конституционных прав граждан — изложить в новой редакции.</w:t>
      </w:r>
    </w:p>
    <w:p w14:paraId="5F73AAC5"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Проблема.</w:t>
      </w:r>
      <w:r w:rsidRPr="000534DA">
        <w:rPr>
          <w:rFonts w:ascii="Times New Roman" w:hAnsi="Times New Roman" w:cs="Times New Roman"/>
        </w:rPr>
        <w:t> Действующая формулировка («отсутствие ограничения… в случае отсутствия оснований для подозрений…») строит конструкцию от подозрения: гражданин свободен, </w:t>
      </w:r>
      <w:r w:rsidRPr="000534DA">
        <w:rPr>
          <w:rFonts w:ascii="Times New Roman" w:hAnsi="Times New Roman" w:cs="Times New Roman"/>
          <w:i/>
          <w:iCs/>
        </w:rPr>
        <w:t>пока не заподозрен</w:t>
      </w:r>
      <w:r w:rsidRPr="000534DA">
        <w:rPr>
          <w:rFonts w:ascii="Times New Roman" w:hAnsi="Times New Roman" w:cs="Times New Roman"/>
        </w:rPr>
        <w:t>. Это переносит бремя на гражданина.</w:t>
      </w:r>
    </w:p>
    <w:p w14:paraId="736B33E9"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Правовое основание.</w:t>
      </w:r>
      <w:r w:rsidRPr="000534DA">
        <w:rPr>
          <w:rFonts w:ascii="Times New Roman" w:hAnsi="Times New Roman" w:cs="Times New Roman"/>
        </w:rPr>
        <w:t> Ст. 49 Конституции РФ (презумпция невиновности), ст. 2, 18 Конституции РФ.</w:t>
      </w:r>
    </w:p>
    <w:p w14:paraId="72B36482"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Предлагаемая формулировка (изложить в редакции):</w:t>
      </w:r>
    </w:p>
    <w:p w14:paraId="6723BA99" w14:textId="77777777" w:rsidR="000534DA" w:rsidRPr="000534DA" w:rsidRDefault="000534DA" w:rsidP="000534DA">
      <w:pPr>
        <w:ind w:firstLine="567"/>
        <w:jc w:val="both"/>
        <w:rPr>
          <w:rFonts w:ascii="Times New Roman" w:hAnsi="Times New Roman" w:cs="Times New Roman"/>
          <w:i/>
          <w:iCs/>
        </w:rPr>
      </w:pPr>
      <w:r w:rsidRPr="000534DA">
        <w:rPr>
          <w:rFonts w:ascii="Times New Roman" w:hAnsi="Times New Roman" w:cs="Times New Roman"/>
          <w:i/>
          <w:iCs/>
        </w:rPr>
        <w:t>«принцип презумпции правомерности поведения гражданина, в соответствии с которым гражданин свободен в совершении законных действий в информационно-коммуникационной сети «Интернет», а применение любой ограничительной меры допускается только при наличии конкретного, законного, необходимого и соразмерного основания, обязанность доказывания которого возлагается на орган или организацию, применяющую такую меру.»</w:t>
      </w:r>
    </w:p>
    <w:p w14:paraId="60BA64A9" w14:textId="77777777" w:rsidR="000534DA" w:rsidRPr="000534DA" w:rsidRDefault="000534DA" w:rsidP="000534DA">
      <w:pPr>
        <w:ind w:firstLine="567"/>
        <w:jc w:val="both"/>
        <w:rPr>
          <w:rFonts w:ascii="Times New Roman" w:hAnsi="Times New Roman" w:cs="Times New Roman"/>
          <w:b/>
          <w:bCs/>
        </w:rPr>
      </w:pPr>
      <w:r w:rsidRPr="000534DA">
        <w:rPr>
          <w:rFonts w:ascii="Times New Roman" w:hAnsi="Times New Roman" w:cs="Times New Roman"/>
          <w:b/>
          <w:bCs/>
        </w:rPr>
        <w:t>БЛОК II. СФЕРА ПРИМЕНЕНИЯ</w:t>
      </w:r>
    </w:p>
    <w:p w14:paraId="69B48281" w14:textId="77777777" w:rsidR="000534DA" w:rsidRPr="000534DA" w:rsidRDefault="000534DA" w:rsidP="000534DA">
      <w:pPr>
        <w:ind w:firstLine="567"/>
        <w:jc w:val="both"/>
        <w:rPr>
          <w:rFonts w:ascii="Times New Roman" w:hAnsi="Times New Roman" w:cs="Times New Roman"/>
          <w:b/>
          <w:bCs/>
        </w:rPr>
      </w:pPr>
      <w:r w:rsidRPr="000534DA">
        <w:rPr>
          <w:rFonts w:ascii="Times New Roman" w:hAnsi="Times New Roman" w:cs="Times New Roman"/>
          <w:b/>
          <w:bCs/>
        </w:rPr>
        <w:t>Поправка 4. О разграничении режимов по тяжести деяний</w:t>
      </w:r>
    </w:p>
    <w:p w14:paraId="4CFF8A45"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Локализация:</w:t>
      </w:r>
      <w:r w:rsidRPr="000534DA">
        <w:rPr>
          <w:rFonts w:ascii="Times New Roman" w:hAnsi="Times New Roman" w:cs="Times New Roman"/>
        </w:rPr>
        <w:t> Раздел II (после абзаца о необходимости индивидуальных подходов к видам преступлений) либо раздел III (задачи).</w:t>
      </w:r>
    </w:p>
    <w:p w14:paraId="02685921"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Проблема.</w:t>
      </w:r>
      <w:r w:rsidRPr="000534DA">
        <w:rPr>
          <w:rFonts w:ascii="Times New Roman" w:hAnsi="Times New Roman" w:cs="Times New Roman"/>
        </w:rPr>
        <w:t> Доктрина охватывает </w:t>
      </w:r>
      <w:r w:rsidRPr="000534DA">
        <w:rPr>
          <w:rFonts w:ascii="Times New Roman" w:hAnsi="Times New Roman" w:cs="Times New Roman"/>
          <w:i/>
          <w:iCs/>
        </w:rPr>
        <w:t>все</w:t>
      </w:r>
      <w:r w:rsidRPr="000534DA">
        <w:rPr>
          <w:rFonts w:ascii="Times New Roman" w:hAnsi="Times New Roman" w:cs="Times New Roman"/>
        </w:rPr>
        <w:t> правонарушения с использованием ИКТ, включая административные и «иные». Это позволяет применять инструменты, соразмерные тяжким преступлениям, к малозначительным деяниям.</w:t>
      </w:r>
    </w:p>
    <w:p w14:paraId="782FF537"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Правовое основание.</w:t>
      </w:r>
      <w:r w:rsidRPr="000534DA">
        <w:rPr>
          <w:rFonts w:ascii="Times New Roman" w:hAnsi="Times New Roman" w:cs="Times New Roman"/>
        </w:rPr>
        <w:t> Принцип соразмерности (ч. 3 ст. 55 Конституции РФ; Постановления КС РФ о соразмерности ограничений).</w:t>
      </w:r>
    </w:p>
    <w:p w14:paraId="62DF41F5"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Предлагаемая формулировка (дополнить задачей):</w:t>
      </w:r>
    </w:p>
    <w:p w14:paraId="29F2320A" w14:textId="77777777" w:rsidR="000534DA" w:rsidRPr="000534DA" w:rsidRDefault="000534DA" w:rsidP="000534DA">
      <w:pPr>
        <w:ind w:firstLine="567"/>
        <w:jc w:val="both"/>
        <w:rPr>
          <w:rFonts w:ascii="Times New Roman" w:hAnsi="Times New Roman" w:cs="Times New Roman"/>
          <w:i/>
          <w:iCs/>
        </w:rPr>
      </w:pPr>
      <w:r w:rsidRPr="000534DA">
        <w:rPr>
          <w:rFonts w:ascii="Times New Roman" w:hAnsi="Times New Roman" w:cs="Times New Roman"/>
          <w:i/>
          <w:iCs/>
        </w:rPr>
        <w:t xml:space="preserve">«дифференциация мер противодействия в зависимости от характера и степени общественной опасности правонарушения; наиболее интрузивные технические и организационные инструменты (деанонимизация, доступ к содержанию сообщений, биометрическая идентификация, межотраслевое </w:t>
      </w:r>
      <w:r w:rsidRPr="000534DA">
        <w:rPr>
          <w:rFonts w:ascii="Times New Roman" w:hAnsi="Times New Roman" w:cs="Times New Roman"/>
          <w:i/>
          <w:iCs/>
        </w:rPr>
        <w:lastRenderedPageBreak/>
        <w:t>сопоставление данных) применяются исключительно в связи с противодействием тяжким и особо тяжким преступлениям и в случаях, прямо предусмотренных федеральным законом, и не подлежат автоматическому распространению на административные правонарушения и деяния небольшой общественной опасности.»</w:t>
      </w:r>
    </w:p>
    <w:p w14:paraId="4B7681E6" w14:textId="77777777" w:rsidR="000534DA" w:rsidRPr="000534DA" w:rsidRDefault="000534DA" w:rsidP="000534DA">
      <w:pPr>
        <w:ind w:firstLine="567"/>
        <w:jc w:val="both"/>
        <w:rPr>
          <w:rFonts w:ascii="Times New Roman" w:hAnsi="Times New Roman" w:cs="Times New Roman"/>
          <w:b/>
          <w:bCs/>
        </w:rPr>
      </w:pPr>
      <w:r w:rsidRPr="000534DA">
        <w:rPr>
          <w:rFonts w:ascii="Times New Roman" w:hAnsi="Times New Roman" w:cs="Times New Roman"/>
          <w:b/>
          <w:bCs/>
        </w:rPr>
        <w:t>БЛОК III. ЦИФРОВОЙ ТОКЕН И ЕДИНЫЙ ПРОФИЛЬ</w:t>
      </w:r>
    </w:p>
    <w:p w14:paraId="1C622D59" w14:textId="77777777" w:rsidR="000534DA" w:rsidRPr="000534DA" w:rsidRDefault="000534DA" w:rsidP="000534DA">
      <w:pPr>
        <w:ind w:firstLine="567"/>
        <w:jc w:val="both"/>
        <w:rPr>
          <w:rFonts w:ascii="Times New Roman" w:hAnsi="Times New Roman" w:cs="Times New Roman"/>
          <w:b/>
          <w:bCs/>
        </w:rPr>
      </w:pPr>
      <w:r w:rsidRPr="000534DA">
        <w:rPr>
          <w:rFonts w:ascii="Times New Roman" w:hAnsi="Times New Roman" w:cs="Times New Roman"/>
          <w:b/>
          <w:bCs/>
        </w:rPr>
        <w:t>Поправка 5. О правовой квалификации цифрового токена как персональных данных</w:t>
      </w:r>
    </w:p>
    <w:p w14:paraId="7D726C2C"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Локализация:</w:t>
      </w:r>
      <w:r w:rsidRPr="000534DA">
        <w:rPr>
          <w:rFonts w:ascii="Times New Roman" w:hAnsi="Times New Roman" w:cs="Times New Roman"/>
        </w:rPr>
        <w:t> Раздел V, п. 2 — дополнить перечень обязательных свойств ЦТ / принципов.</w:t>
      </w:r>
    </w:p>
    <w:p w14:paraId="29ACC0B5"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Проблема.</w:t>
      </w:r>
      <w:r w:rsidRPr="000534DA">
        <w:rPr>
          <w:rFonts w:ascii="Times New Roman" w:hAnsi="Times New Roman" w:cs="Times New Roman"/>
        </w:rPr>
        <w:t> ЦТ объявлен «не идентификатором», но функционально он уникален, неотчуждаем и связывает записи о лице у разных операторов. Отрицание его статуса как ПД выводит его из-под защитного режима ФЗ № 152-ФЗ.</w:t>
      </w:r>
    </w:p>
    <w:p w14:paraId="6369A8CF"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Правовое основание.</w:t>
      </w:r>
      <w:r w:rsidRPr="000534DA">
        <w:rPr>
          <w:rFonts w:ascii="Times New Roman" w:hAnsi="Times New Roman" w:cs="Times New Roman"/>
        </w:rPr>
        <w:t xml:space="preserve"> П. 1 ст. 3 ФЗ № 152-ФЗ (ПД — любая информация, относящаяся к прямо или косвенно определяемому лицу); Рекомендации по </w:t>
      </w:r>
      <w:proofErr w:type="spellStart"/>
      <w:r w:rsidRPr="000534DA">
        <w:rPr>
          <w:rFonts w:ascii="Times New Roman" w:hAnsi="Times New Roman" w:cs="Times New Roman"/>
        </w:rPr>
        <w:t>псевдонимизации</w:t>
      </w:r>
      <w:proofErr w:type="spellEnd"/>
      <w:r w:rsidRPr="000534DA">
        <w:rPr>
          <w:rFonts w:ascii="Times New Roman" w:hAnsi="Times New Roman" w:cs="Times New Roman"/>
        </w:rPr>
        <w:t>.</w:t>
      </w:r>
    </w:p>
    <w:p w14:paraId="677DEADC"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Предлагаемая формулировка (дополнить):</w:t>
      </w:r>
    </w:p>
    <w:p w14:paraId="64A7D5B5" w14:textId="77777777" w:rsidR="000534DA" w:rsidRPr="000534DA" w:rsidRDefault="000534DA" w:rsidP="000534DA">
      <w:pPr>
        <w:ind w:firstLine="567"/>
        <w:jc w:val="both"/>
        <w:rPr>
          <w:rFonts w:ascii="Times New Roman" w:hAnsi="Times New Roman" w:cs="Times New Roman"/>
          <w:i/>
          <w:iCs/>
        </w:rPr>
      </w:pPr>
      <w:r w:rsidRPr="000534DA">
        <w:rPr>
          <w:rFonts w:ascii="Times New Roman" w:hAnsi="Times New Roman" w:cs="Times New Roman"/>
          <w:i/>
          <w:iCs/>
        </w:rPr>
        <w:t>«Цифровой токен и любые криптографические производные (</w:t>
      </w:r>
      <w:proofErr w:type="spellStart"/>
      <w:r w:rsidRPr="000534DA">
        <w:rPr>
          <w:rFonts w:ascii="Times New Roman" w:hAnsi="Times New Roman" w:cs="Times New Roman"/>
          <w:i/>
          <w:iCs/>
        </w:rPr>
        <w:t>хеши</w:t>
      </w:r>
      <w:proofErr w:type="spellEnd"/>
      <w:r w:rsidRPr="000534DA">
        <w:rPr>
          <w:rFonts w:ascii="Times New Roman" w:hAnsi="Times New Roman" w:cs="Times New Roman"/>
          <w:i/>
          <w:iCs/>
        </w:rPr>
        <w:t>, векторы), позволяющие прямо или косвенно соотнести сведения с конкретным физическим лицом либо связать относящиеся к нему записи, относятся к персональным данным. На их обработку в полном объёме распространяются требования законодательства о персональных данных, включая целевое ограничение, минимизацию, обеспечение безопасности, установление сроков хранения и удаления, а также реализацию прав субъекта персональных данных.»</w:t>
      </w:r>
    </w:p>
    <w:p w14:paraId="15BE6E27" w14:textId="77777777" w:rsidR="000534DA" w:rsidRPr="000534DA" w:rsidRDefault="000534DA" w:rsidP="000534DA">
      <w:pPr>
        <w:ind w:firstLine="567"/>
        <w:jc w:val="both"/>
        <w:rPr>
          <w:rFonts w:ascii="Times New Roman" w:hAnsi="Times New Roman" w:cs="Times New Roman"/>
          <w:b/>
          <w:bCs/>
        </w:rPr>
      </w:pPr>
      <w:r w:rsidRPr="000534DA">
        <w:rPr>
          <w:rFonts w:ascii="Times New Roman" w:hAnsi="Times New Roman" w:cs="Times New Roman"/>
          <w:b/>
          <w:bCs/>
        </w:rPr>
        <w:t>Поправка 6. О запрете превращения ЦТ во всеобщий идентификатор</w:t>
      </w:r>
    </w:p>
    <w:p w14:paraId="45948923"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Локализация:</w:t>
      </w:r>
      <w:r w:rsidRPr="000534DA">
        <w:rPr>
          <w:rFonts w:ascii="Times New Roman" w:hAnsi="Times New Roman" w:cs="Times New Roman"/>
        </w:rPr>
        <w:t> Раздел V, п. 2 — дополнить принципы реализации сценария опережающего развития.</w:t>
      </w:r>
    </w:p>
    <w:p w14:paraId="6E5DDBAE"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Проблема.</w:t>
      </w:r>
      <w:r w:rsidRPr="000534DA">
        <w:rPr>
          <w:rFonts w:ascii="Times New Roman" w:hAnsi="Times New Roman" w:cs="Times New Roman"/>
        </w:rPr>
        <w:t> Отсутствует юридический барьер против расширения назначения ЦТ (</w:t>
      </w:r>
      <w:proofErr w:type="spellStart"/>
      <w:r w:rsidRPr="000534DA">
        <w:rPr>
          <w:rFonts w:ascii="Times New Roman" w:hAnsi="Times New Roman" w:cs="Times New Roman"/>
        </w:rPr>
        <w:t>function</w:t>
      </w:r>
      <w:proofErr w:type="spellEnd"/>
      <w:r w:rsidRPr="000534DA">
        <w:rPr>
          <w:rFonts w:ascii="Times New Roman" w:hAnsi="Times New Roman" w:cs="Times New Roman"/>
        </w:rPr>
        <w:t xml:space="preserve"> </w:t>
      </w:r>
      <w:proofErr w:type="spellStart"/>
      <w:r w:rsidRPr="000534DA">
        <w:rPr>
          <w:rFonts w:ascii="Times New Roman" w:hAnsi="Times New Roman" w:cs="Times New Roman"/>
        </w:rPr>
        <w:t>creep</w:t>
      </w:r>
      <w:proofErr w:type="spellEnd"/>
      <w:r w:rsidRPr="000534DA">
        <w:rPr>
          <w:rFonts w:ascii="Times New Roman" w:hAnsi="Times New Roman" w:cs="Times New Roman"/>
        </w:rPr>
        <w:t>): из антифрод-инструмента он способен стать условием доступа к услугам и основой рейтингов.</w:t>
      </w:r>
    </w:p>
    <w:p w14:paraId="21C1857E"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Правовое основание.</w:t>
      </w:r>
      <w:r w:rsidRPr="000534DA">
        <w:rPr>
          <w:rFonts w:ascii="Times New Roman" w:hAnsi="Times New Roman" w:cs="Times New Roman"/>
        </w:rPr>
        <w:t> Ст. 19 Конституции РФ (равенство), ст. 5 ФЗ № 152-ФЗ (цель обработки).</w:t>
      </w:r>
    </w:p>
    <w:p w14:paraId="182B002D"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Предлагаемая формулировка (дополнить):</w:t>
      </w:r>
    </w:p>
    <w:p w14:paraId="44B28A2D" w14:textId="77777777" w:rsidR="000534DA" w:rsidRPr="000534DA" w:rsidRDefault="000534DA" w:rsidP="000534DA">
      <w:pPr>
        <w:ind w:firstLine="567"/>
        <w:jc w:val="both"/>
        <w:rPr>
          <w:rFonts w:ascii="Times New Roman" w:hAnsi="Times New Roman" w:cs="Times New Roman"/>
          <w:i/>
          <w:iCs/>
        </w:rPr>
      </w:pPr>
      <w:r w:rsidRPr="000534DA">
        <w:rPr>
          <w:rFonts w:ascii="Times New Roman" w:hAnsi="Times New Roman" w:cs="Times New Roman"/>
          <w:i/>
          <w:iCs/>
        </w:rPr>
        <w:t xml:space="preserve">«Устанавливается недопустимость использования цифрового токена: в качестве всеобщего (сквозного) идентификатора личности; в качестве обязательного условия доступа к государственным, финансовым, телекоммуникационным и иным услугам; для формирования рейтингов благонадёжности, социальной надёжности или правомерности поведения граждан; для коммерческого профилирования. Архитектура цифрового токена должна обеспечивать </w:t>
      </w:r>
      <w:proofErr w:type="spellStart"/>
      <w:r w:rsidRPr="000534DA">
        <w:rPr>
          <w:rFonts w:ascii="Times New Roman" w:hAnsi="Times New Roman" w:cs="Times New Roman"/>
          <w:i/>
          <w:iCs/>
        </w:rPr>
        <w:t>несвязываемость</w:t>
      </w:r>
      <w:proofErr w:type="spellEnd"/>
      <w:r w:rsidRPr="000534DA">
        <w:rPr>
          <w:rFonts w:ascii="Times New Roman" w:hAnsi="Times New Roman" w:cs="Times New Roman"/>
          <w:i/>
          <w:iCs/>
        </w:rPr>
        <w:t xml:space="preserve"> (невозможность сопоставления) контекстов его применения между собой, за исключением случаев, прямо предусмотренных федеральным законом, безопасный перевыпуск, ведение журнала обращений, доступного гражданину, независимый аудит и публикацию модели угроз.»</w:t>
      </w:r>
    </w:p>
    <w:p w14:paraId="106BB34C" w14:textId="77777777" w:rsidR="000534DA" w:rsidRPr="000534DA" w:rsidRDefault="000534DA" w:rsidP="000534DA">
      <w:pPr>
        <w:ind w:firstLine="567"/>
        <w:jc w:val="both"/>
        <w:rPr>
          <w:rFonts w:ascii="Times New Roman" w:hAnsi="Times New Roman" w:cs="Times New Roman"/>
          <w:b/>
          <w:bCs/>
        </w:rPr>
      </w:pPr>
      <w:r w:rsidRPr="000534DA">
        <w:rPr>
          <w:rFonts w:ascii="Times New Roman" w:hAnsi="Times New Roman" w:cs="Times New Roman"/>
          <w:b/>
          <w:bCs/>
        </w:rPr>
        <w:t>Поправка 7. О независимой криптографической верификации необратимости</w:t>
      </w:r>
    </w:p>
    <w:p w14:paraId="0ECA2103"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Локализация:</w:t>
      </w:r>
      <w:r w:rsidRPr="000534DA">
        <w:rPr>
          <w:rFonts w:ascii="Times New Roman" w:hAnsi="Times New Roman" w:cs="Times New Roman"/>
        </w:rPr>
        <w:t> Раздел V, п. 2 — абзац об обработке на основе криптографических производных.</w:t>
      </w:r>
    </w:p>
    <w:p w14:paraId="7B611E9E"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lastRenderedPageBreak/>
        <w:t>Проблема.</w:t>
      </w:r>
      <w:r w:rsidRPr="000534DA">
        <w:rPr>
          <w:rFonts w:ascii="Times New Roman" w:hAnsi="Times New Roman" w:cs="Times New Roman"/>
        </w:rPr>
        <w:t> Утверждение о невозможности восстановить исходные данные из векторов дано как декларация, без независимого подтверждения. Возможны атаки корреляции, словарные атаки, инверсия моделей.</w:t>
      </w:r>
    </w:p>
    <w:p w14:paraId="57E08BE2"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Правовое основание.</w:t>
      </w:r>
      <w:r w:rsidRPr="000534DA">
        <w:rPr>
          <w:rFonts w:ascii="Times New Roman" w:hAnsi="Times New Roman" w:cs="Times New Roman"/>
        </w:rPr>
        <w:t> Ст. 19 ФЗ № 152-ФЗ (требования к защите ПД).</w:t>
      </w:r>
    </w:p>
    <w:p w14:paraId="5C6339F0"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Предлагаемая формулировка (дополнить):</w:t>
      </w:r>
    </w:p>
    <w:p w14:paraId="65B2880C" w14:textId="77777777" w:rsidR="000534DA" w:rsidRPr="000534DA" w:rsidRDefault="000534DA" w:rsidP="000534DA">
      <w:pPr>
        <w:ind w:firstLine="567"/>
        <w:jc w:val="both"/>
        <w:rPr>
          <w:rFonts w:ascii="Times New Roman" w:hAnsi="Times New Roman" w:cs="Times New Roman"/>
          <w:i/>
          <w:iCs/>
        </w:rPr>
      </w:pPr>
      <w:r w:rsidRPr="000534DA">
        <w:rPr>
          <w:rFonts w:ascii="Times New Roman" w:hAnsi="Times New Roman" w:cs="Times New Roman"/>
          <w:i/>
          <w:iCs/>
        </w:rPr>
        <w:t>«Утверждение о невозможности восстановления исходных данных из криптографических производных подлежит обязательному подтверждению независимой криптографической экспертизой с опубликованием несекретной части её результатов и модели угроз, а также периодическому повторному аудиту с учётом развития вычислительных технологий, включая перспективные (в том числе квантовые) методы.»</w:t>
      </w:r>
    </w:p>
    <w:p w14:paraId="0D1A28BA" w14:textId="77777777" w:rsidR="000534DA" w:rsidRPr="000534DA" w:rsidRDefault="000534DA" w:rsidP="000534DA">
      <w:pPr>
        <w:ind w:firstLine="567"/>
        <w:jc w:val="both"/>
        <w:rPr>
          <w:rFonts w:ascii="Times New Roman" w:hAnsi="Times New Roman" w:cs="Times New Roman"/>
          <w:b/>
          <w:bCs/>
        </w:rPr>
      </w:pPr>
      <w:r w:rsidRPr="000534DA">
        <w:rPr>
          <w:rFonts w:ascii="Times New Roman" w:hAnsi="Times New Roman" w:cs="Times New Roman"/>
          <w:b/>
          <w:bCs/>
        </w:rPr>
        <w:t>БЛОК IV. БИОМЕТРИЯ</w:t>
      </w:r>
    </w:p>
    <w:p w14:paraId="3F991E6B" w14:textId="77777777" w:rsidR="000534DA" w:rsidRPr="000534DA" w:rsidRDefault="000534DA" w:rsidP="000534DA">
      <w:pPr>
        <w:ind w:firstLine="567"/>
        <w:jc w:val="both"/>
        <w:rPr>
          <w:rFonts w:ascii="Times New Roman" w:hAnsi="Times New Roman" w:cs="Times New Roman"/>
          <w:b/>
          <w:bCs/>
        </w:rPr>
      </w:pPr>
      <w:r w:rsidRPr="000534DA">
        <w:rPr>
          <w:rFonts w:ascii="Times New Roman" w:hAnsi="Times New Roman" w:cs="Times New Roman"/>
          <w:b/>
          <w:bCs/>
        </w:rPr>
        <w:t>Поправка 8. О реальной (не фиктивной) добровольности биометрии</w:t>
      </w:r>
    </w:p>
    <w:p w14:paraId="7030C735"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Локализация:</w:t>
      </w:r>
      <w:r w:rsidRPr="000534DA">
        <w:rPr>
          <w:rFonts w:ascii="Times New Roman" w:hAnsi="Times New Roman" w:cs="Times New Roman"/>
        </w:rPr>
        <w:t> Раздел IV, п. 4 (абзацы о ЕБС и биометрии) и раздел V, п. 2 (абзац о добровольности).</w:t>
      </w:r>
    </w:p>
    <w:p w14:paraId="1A574261"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Проблема.</w:t>
      </w:r>
      <w:r w:rsidRPr="000534DA">
        <w:rPr>
          <w:rFonts w:ascii="Times New Roman" w:hAnsi="Times New Roman" w:cs="Times New Roman"/>
        </w:rPr>
        <w:t> Декларируется добровольность, но одновременно ставится задача массового наполнения ЕБС и возможного отказа от 2FA. Возникает риск, что отказ от биометрии будет ухудшать положение гражданина (косвенное принуждение).</w:t>
      </w:r>
    </w:p>
    <w:p w14:paraId="209A3C1C"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Правовое основание.</w:t>
      </w:r>
      <w:r w:rsidRPr="000534DA">
        <w:rPr>
          <w:rFonts w:ascii="Times New Roman" w:hAnsi="Times New Roman" w:cs="Times New Roman"/>
        </w:rPr>
        <w:t> Ч. 1 ст. 9 ФЗ № 152-ФЗ (согласие — свободное); ст. 19 Конституции РФ.</w:t>
      </w:r>
    </w:p>
    <w:p w14:paraId="5800D2D7"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Предлагаемая формулировка (дополнить):</w:t>
      </w:r>
    </w:p>
    <w:p w14:paraId="32A565B0" w14:textId="77777777" w:rsidR="000534DA" w:rsidRPr="000534DA" w:rsidRDefault="000534DA" w:rsidP="000534DA">
      <w:pPr>
        <w:ind w:firstLine="567"/>
        <w:jc w:val="both"/>
        <w:rPr>
          <w:rFonts w:ascii="Times New Roman" w:hAnsi="Times New Roman" w:cs="Times New Roman"/>
          <w:i/>
          <w:iCs/>
        </w:rPr>
      </w:pPr>
      <w:r w:rsidRPr="000534DA">
        <w:rPr>
          <w:rFonts w:ascii="Times New Roman" w:hAnsi="Times New Roman" w:cs="Times New Roman"/>
          <w:i/>
          <w:iCs/>
        </w:rPr>
        <w:t xml:space="preserve">«Добровольность предоставления и использования биометрических персональных данных обеспечивается наличием равноценной, общедоступной и бесплатной </w:t>
      </w:r>
      <w:proofErr w:type="spellStart"/>
      <w:r w:rsidRPr="000534DA">
        <w:rPr>
          <w:rFonts w:ascii="Times New Roman" w:hAnsi="Times New Roman" w:cs="Times New Roman"/>
          <w:i/>
          <w:iCs/>
        </w:rPr>
        <w:t>небиометрической</w:t>
      </w:r>
      <w:proofErr w:type="spellEnd"/>
      <w:r w:rsidRPr="000534DA">
        <w:rPr>
          <w:rFonts w:ascii="Times New Roman" w:hAnsi="Times New Roman" w:cs="Times New Roman"/>
          <w:i/>
          <w:iCs/>
        </w:rPr>
        <w:t xml:space="preserve"> альтернативы. Отказ гражданина от использования биометрических персональных данных не может влечь отказ в предоставлении услуги, ухудшение её условий, снижение лимитов, увеличение стоимости, срока или количества необходимых действий, ограничение дистанционного обслуживания, а также отнесение гражданина к категории повышенного риска исключительно на основании такого отказа.»</w:t>
      </w:r>
    </w:p>
    <w:p w14:paraId="0E3AD3C7" w14:textId="77777777" w:rsidR="000534DA" w:rsidRPr="000534DA" w:rsidRDefault="000534DA" w:rsidP="000534DA">
      <w:pPr>
        <w:ind w:firstLine="567"/>
        <w:jc w:val="both"/>
        <w:rPr>
          <w:rFonts w:ascii="Times New Roman" w:hAnsi="Times New Roman" w:cs="Times New Roman"/>
          <w:b/>
          <w:bCs/>
        </w:rPr>
      </w:pPr>
      <w:r w:rsidRPr="000534DA">
        <w:rPr>
          <w:rFonts w:ascii="Times New Roman" w:hAnsi="Times New Roman" w:cs="Times New Roman"/>
          <w:b/>
          <w:bCs/>
        </w:rPr>
        <w:t>Поправка 9. О недопустимости единого биометрического «ключа ко всему»</w:t>
      </w:r>
    </w:p>
    <w:p w14:paraId="01DB2DAC"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Локализация:</w:t>
      </w:r>
      <w:r w:rsidRPr="000534DA">
        <w:rPr>
          <w:rFonts w:ascii="Times New Roman" w:hAnsi="Times New Roman" w:cs="Times New Roman"/>
        </w:rPr>
        <w:t> Раздел V, п. 2 (абзацы о переходе к многофакторной защите и возможном отказе от 2FA).</w:t>
      </w:r>
    </w:p>
    <w:p w14:paraId="5073D1B0"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Проблема.</w:t>
      </w:r>
      <w:r w:rsidRPr="000534DA">
        <w:rPr>
          <w:rFonts w:ascii="Times New Roman" w:hAnsi="Times New Roman" w:cs="Times New Roman"/>
        </w:rPr>
        <w:t> Возможный отказ от двухфакторной аутентификации в пользу биометрии создаёт единую точку отказа: компрометация биометрии ставит под угрозу сразу все сферы.</w:t>
      </w:r>
    </w:p>
    <w:p w14:paraId="06401B3E"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Правовое основание.</w:t>
      </w:r>
      <w:r w:rsidRPr="000534DA">
        <w:rPr>
          <w:rFonts w:ascii="Times New Roman" w:hAnsi="Times New Roman" w:cs="Times New Roman"/>
        </w:rPr>
        <w:t> Ст. 19 ФЗ № 152-ФЗ; принцип безопасности обработки.</w:t>
      </w:r>
    </w:p>
    <w:p w14:paraId="6461DCE2"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Предлагаемая формулировка (изложить в редакции соответствующего абзаца):</w:t>
      </w:r>
    </w:p>
    <w:p w14:paraId="1963AF42" w14:textId="77777777" w:rsidR="000534DA" w:rsidRPr="000534DA" w:rsidRDefault="000534DA" w:rsidP="000534DA">
      <w:pPr>
        <w:ind w:firstLine="567"/>
        <w:jc w:val="both"/>
        <w:rPr>
          <w:rFonts w:ascii="Times New Roman" w:hAnsi="Times New Roman" w:cs="Times New Roman"/>
          <w:i/>
          <w:iCs/>
        </w:rPr>
      </w:pPr>
      <w:r w:rsidRPr="000534DA">
        <w:rPr>
          <w:rFonts w:ascii="Times New Roman" w:hAnsi="Times New Roman" w:cs="Times New Roman"/>
          <w:i/>
          <w:iCs/>
        </w:rPr>
        <w:t xml:space="preserve">«Развитие механизмов аутентификации осуществляется по принципу многофакторности. Биометрические персональные данные не могут являться единственным и универсальным средством подтверждения юридически значимых действий во всех сферах. Отказ от отдельных факторов аутентификации допускается только при сохранении совокупного уровня защищённости не ниже ранее </w:t>
      </w:r>
      <w:r w:rsidRPr="000534DA">
        <w:rPr>
          <w:rFonts w:ascii="Times New Roman" w:hAnsi="Times New Roman" w:cs="Times New Roman"/>
          <w:i/>
          <w:iCs/>
        </w:rPr>
        <w:lastRenderedPageBreak/>
        <w:t>обеспеченного и при наличии для гражданина резервных способов подтверждения и восстановления доступа.»</w:t>
      </w:r>
    </w:p>
    <w:p w14:paraId="204732B2" w14:textId="77777777" w:rsidR="000534DA" w:rsidRPr="000534DA" w:rsidRDefault="000534DA" w:rsidP="000534DA">
      <w:pPr>
        <w:ind w:firstLine="567"/>
        <w:jc w:val="both"/>
        <w:rPr>
          <w:rFonts w:ascii="Times New Roman" w:hAnsi="Times New Roman" w:cs="Times New Roman"/>
          <w:b/>
          <w:bCs/>
        </w:rPr>
      </w:pPr>
      <w:r w:rsidRPr="000534DA">
        <w:rPr>
          <w:rFonts w:ascii="Times New Roman" w:hAnsi="Times New Roman" w:cs="Times New Roman"/>
          <w:b/>
          <w:bCs/>
        </w:rPr>
        <w:t>БЛОК V. КОММУНИКАЦИИ, ДЕАНОНИМИЗАЦИЯ, АНАЛИТИКА</w:t>
      </w:r>
    </w:p>
    <w:p w14:paraId="6670A796" w14:textId="77777777" w:rsidR="000534DA" w:rsidRPr="000534DA" w:rsidRDefault="000534DA" w:rsidP="000534DA">
      <w:pPr>
        <w:ind w:firstLine="567"/>
        <w:jc w:val="both"/>
        <w:rPr>
          <w:rFonts w:ascii="Times New Roman" w:hAnsi="Times New Roman" w:cs="Times New Roman"/>
          <w:b/>
          <w:bCs/>
        </w:rPr>
      </w:pPr>
      <w:r w:rsidRPr="000534DA">
        <w:rPr>
          <w:rFonts w:ascii="Times New Roman" w:hAnsi="Times New Roman" w:cs="Times New Roman"/>
          <w:b/>
          <w:bCs/>
        </w:rPr>
        <w:t>Поправка 10. О судебном контроле над обратным отслеживанием</w:t>
      </w:r>
    </w:p>
    <w:p w14:paraId="0ADA05EE"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Локализация:</w:t>
      </w:r>
      <w:r w:rsidRPr="000534DA">
        <w:rPr>
          <w:rFonts w:ascii="Times New Roman" w:hAnsi="Times New Roman" w:cs="Times New Roman"/>
        </w:rPr>
        <w:t> Раздел I (определение «механизм обратного отслеживания») и раздел IV (соответствующие задачи).</w:t>
      </w:r>
    </w:p>
    <w:p w14:paraId="6922262B"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Проблема.</w:t>
      </w:r>
      <w:r w:rsidRPr="000534DA">
        <w:rPr>
          <w:rFonts w:ascii="Times New Roman" w:hAnsi="Times New Roman" w:cs="Times New Roman"/>
        </w:rPr>
        <w:t> Не определены: понятие «подозрительной коммуникации», порог подозрения, субъект решения, наличие судебного контроля, различие между метаданными и содержанием, сроки хранения, порядок оспаривания.</w:t>
      </w:r>
    </w:p>
    <w:p w14:paraId="5E1F2DFD"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Правовое основание.</w:t>
      </w:r>
      <w:r w:rsidRPr="000534DA">
        <w:rPr>
          <w:rFonts w:ascii="Times New Roman" w:hAnsi="Times New Roman" w:cs="Times New Roman"/>
        </w:rPr>
        <w:t> Ст. 23 Конституции РФ (тайна связи — ограничение только по судебному решению); практика ЕСПЧ и КС РФ.</w:t>
      </w:r>
    </w:p>
    <w:p w14:paraId="6D34321A"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Предлагаемая формулировка (дополнить задачей):</w:t>
      </w:r>
    </w:p>
    <w:p w14:paraId="0672FE91" w14:textId="77777777" w:rsidR="000534DA" w:rsidRPr="000534DA" w:rsidRDefault="000534DA" w:rsidP="000534DA">
      <w:pPr>
        <w:ind w:firstLine="567"/>
        <w:jc w:val="both"/>
        <w:rPr>
          <w:rFonts w:ascii="Times New Roman" w:hAnsi="Times New Roman" w:cs="Times New Roman"/>
          <w:i/>
          <w:iCs/>
        </w:rPr>
      </w:pPr>
      <w:r w:rsidRPr="000534DA">
        <w:rPr>
          <w:rFonts w:ascii="Times New Roman" w:hAnsi="Times New Roman" w:cs="Times New Roman"/>
          <w:i/>
          <w:iCs/>
        </w:rPr>
        <w:t xml:space="preserve">«Применение механизма обратного отслеживания и иных мер деанонимизации осуществляется исключительно на основании федерального закона, в связи с конкретным производством, при наличии установленного законом порога подозрения. Доступ к содержанию сообщений и иные ограничения тайны связи допускаются только на основании судебного решения. Устанавливаются специальные гарантии охраны адвокатской, врачебной, журналистской, нотариальной и иной охраняемой законом тайны. Использование средств шифрования, анонимизации и </w:t>
      </w:r>
      <w:proofErr w:type="spellStart"/>
      <w:r w:rsidRPr="000534DA">
        <w:rPr>
          <w:rFonts w:ascii="Times New Roman" w:hAnsi="Times New Roman" w:cs="Times New Roman"/>
          <w:i/>
          <w:iCs/>
        </w:rPr>
        <w:t>псевдонимности</w:t>
      </w:r>
      <w:proofErr w:type="spellEnd"/>
      <w:r w:rsidRPr="000534DA">
        <w:rPr>
          <w:rFonts w:ascii="Times New Roman" w:hAnsi="Times New Roman" w:cs="Times New Roman"/>
          <w:i/>
          <w:iCs/>
        </w:rPr>
        <w:t xml:space="preserve"> само по себе не может рассматриваться как основание для подозрения.»</w:t>
      </w:r>
    </w:p>
    <w:p w14:paraId="049CC28B" w14:textId="77777777" w:rsidR="000534DA" w:rsidRPr="000534DA" w:rsidRDefault="000534DA" w:rsidP="000534DA">
      <w:pPr>
        <w:ind w:firstLine="567"/>
        <w:jc w:val="both"/>
        <w:rPr>
          <w:rFonts w:ascii="Times New Roman" w:hAnsi="Times New Roman" w:cs="Times New Roman"/>
          <w:b/>
          <w:bCs/>
        </w:rPr>
      </w:pPr>
      <w:r w:rsidRPr="000534DA">
        <w:rPr>
          <w:rFonts w:ascii="Times New Roman" w:hAnsi="Times New Roman" w:cs="Times New Roman"/>
          <w:b/>
          <w:bCs/>
        </w:rPr>
        <w:t>Поправка 11. О пределах речевой и текстовой аналитики и защите шифрования</w:t>
      </w:r>
    </w:p>
    <w:p w14:paraId="0CDFF503"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Локализация:</w:t>
      </w:r>
      <w:r w:rsidRPr="000534DA">
        <w:rPr>
          <w:rFonts w:ascii="Times New Roman" w:hAnsi="Times New Roman" w:cs="Times New Roman"/>
        </w:rPr>
        <w:t> Раздел IV, п. 4 (абзац о внедрении стандартов речевой и текстовой аналитики).</w:t>
      </w:r>
    </w:p>
    <w:p w14:paraId="06C73582"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Проблема.</w:t>
      </w:r>
      <w:r w:rsidRPr="000534DA">
        <w:rPr>
          <w:rFonts w:ascii="Times New Roman" w:hAnsi="Times New Roman" w:cs="Times New Roman"/>
        </w:rPr>
        <w:t> Не определён объект анализа. Формулировка допускает массовое сканирование содержания частных коммуникаций и ослабление шифрования.</w:t>
      </w:r>
    </w:p>
    <w:p w14:paraId="235C5F4C"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Правовое основание.</w:t>
      </w:r>
      <w:r w:rsidRPr="000534DA">
        <w:rPr>
          <w:rFonts w:ascii="Times New Roman" w:hAnsi="Times New Roman" w:cs="Times New Roman"/>
        </w:rPr>
        <w:t> Ст. 23, 24 Конституции РФ; ст. 63 ФЗ «О связи».</w:t>
      </w:r>
    </w:p>
    <w:p w14:paraId="29C09A63"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Предлагаемая формулировка (дополнить):</w:t>
      </w:r>
    </w:p>
    <w:p w14:paraId="5CEF8F25" w14:textId="77777777" w:rsidR="000534DA" w:rsidRPr="000534DA" w:rsidRDefault="000534DA" w:rsidP="000534DA">
      <w:pPr>
        <w:ind w:firstLine="567"/>
        <w:jc w:val="both"/>
        <w:rPr>
          <w:rFonts w:ascii="Times New Roman" w:hAnsi="Times New Roman" w:cs="Times New Roman"/>
          <w:i/>
          <w:iCs/>
        </w:rPr>
      </w:pPr>
      <w:r w:rsidRPr="000534DA">
        <w:rPr>
          <w:rFonts w:ascii="Times New Roman" w:hAnsi="Times New Roman" w:cs="Times New Roman"/>
          <w:i/>
          <w:iCs/>
        </w:rPr>
        <w:t>«Средства речевой и текстовой аналитики применяются с соблюдением тайны связи. Массовое неизбирательное автоматизированное сканирование содержания частных сообщений не допускается. Анализ содержания коммуникаций может вводиться только федеральным законом при наличии судебного контроля. Не допускаются меры, влекущие ослабление стойкого шифрования, включая обязательное клиентское сканирование, передачу или депонирование ключей и создание технических возможностей несанкционированного доступа к защищённым коммуникациям.»</w:t>
      </w:r>
    </w:p>
    <w:p w14:paraId="6D536DB5" w14:textId="77777777" w:rsidR="000534DA" w:rsidRPr="000534DA" w:rsidRDefault="000534DA" w:rsidP="000534DA">
      <w:pPr>
        <w:ind w:firstLine="567"/>
        <w:jc w:val="both"/>
        <w:rPr>
          <w:rFonts w:ascii="Times New Roman" w:hAnsi="Times New Roman" w:cs="Times New Roman"/>
          <w:b/>
          <w:bCs/>
        </w:rPr>
      </w:pPr>
      <w:r w:rsidRPr="000534DA">
        <w:rPr>
          <w:rFonts w:ascii="Times New Roman" w:hAnsi="Times New Roman" w:cs="Times New Roman"/>
          <w:b/>
          <w:bCs/>
        </w:rPr>
        <w:t>Поправка 12. О запрете предиктивного правоприменения и автоматических решений</w:t>
      </w:r>
    </w:p>
    <w:p w14:paraId="34A4AED8"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Локализация:</w:t>
      </w:r>
      <w:r w:rsidRPr="000534DA">
        <w:rPr>
          <w:rFonts w:ascii="Times New Roman" w:hAnsi="Times New Roman" w:cs="Times New Roman"/>
        </w:rPr>
        <w:t> Раздел I (определение «цифровая идентификация личности» — часть «оценивать состояние, обнаруживать аномалии, прогнозировать угрозы») и раздел IV, п. 5/раздел V.</w:t>
      </w:r>
    </w:p>
    <w:p w14:paraId="2CD45223"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Проблема.</w:t>
      </w:r>
      <w:r w:rsidRPr="000534DA">
        <w:rPr>
          <w:rFonts w:ascii="Times New Roman" w:hAnsi="Times New Roman" w:cs="Times New Roman"/>
        </w:rPr>
        <w:t> Оценка «состояния» гражданина и прогнозирование угроз создают предпосылки «цифровой презумпции подозрительности» и ограничений </w:t>
      </w:r>
      <w:r w:rsidRPr="000534DA">
        <w:rPr>
          <w:rFonts w:ascii="Times New Roman" w:hAnsi="Times New Roman" w:cs="Times New Roman"/>
          <w:i/>
          <w:iCs/>
        </w:rPr>
        <w:t>до</w:t>
      </w:r>
      <w:r w:rsidRPr="000534DA">
        <w:rPr>
          <w:rFonts w:ascii="Times New Roman" w:hAnsi="Times New Roman" w:cs="Times New Roman"/>
        </w:rPr>
        <w:t> совершения деяния, в т. ч. исключительно алгоритмом.</w:t>
      </w:r>
    </w:p>
    <w:p w14:paraId="685FCEFF"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lastRenderedPageBreak/>
        <w:t>Правовое основание.</w:t>
      </w:r>
      <w:r w:rsidRPr="000534DA">
        <w:rPr>
          <w:rFonts w:ascii="Times New Roman" w:hAnsi="Times New Roman" w:cs="Times New Roman"/>
        </w:rPr>
        <w:t> Ст. 16 ФЗ № 152-ФЗ (запрет решений только на основе автоматизированной обработки без согласия/закона); ст. 49 Конституции РФ.</w:t>
      </w:r>
    </w:p>
    <w:p w14:paraId="3E94F503"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Предлагаемая формулировка (дополнить):</w:t>
      </w:r>
    </w:p>
    <w:p w14:paraId="73884EE6" w14:textId="77777777" w:rsidR="000534DA" w:rsidRPr="000534DA" w:rsidRDefault="000534DA" w:rsidP="000534DA">
      <w:pPr>
        <w:ind w:firstLine="567"/>
        <w:jc w:val="both"/>
        <w:rPr>
          <w:rFonts w:ascii="Times New Roman" w:hAnsi="Times New Roman" w:cs="Times New Roman"/>
          <w:i/>
          <w:iCs/>
        </w:rPr>
      </w:pPr>
      <w:r w:rsidRPr="000534DA">
        <w:rPr>
          <w:rFonts w:ascii="Times New Roman" w:hAnsi="Times New Roman" w:cs="Times New Roman"/>
          <w:i/>
          <w:iCs/>
        </w:rPr>
        <w:t>«Меры противодействия применяются в связи с конкретными действиями лица, а не на основании прогноза его возможного поведения. Запрещается принятие решений, порождающих юридические последствия или иным образом существенно затрагивающих права гражданина, исключительно на основании автоматизированной обработки данных. Допускается лишь краткосрочная техническая приостановка операции при условии незамедлительного пересмотра с участием человека и наличия эффективного механизма обжалования. Формирование единого межотраслевого рейтинга благонадёжности, социальной надёжности или правомерности поведения граждан не допускается.»</w:t>
      </w:r>
    </w:p>
    <w:p w14:paraId="4F47D373" w14:textId="77777777" w:rsidR="000534DA" w:rsidRPr="000534DA" w:rsidRDefault="000534DA" w:rsidP="000534DA">
      <w:pPr>
        <w:ind w:firstLine="567"/>
        <w:jc w:val="both"/>
        <w:rPr>
          <w:rFonts w:ascii="Times New Roman" w:hAnsi="Times New Roman" w:cs="Times New Roman"/>
          <w:b/>
          <w:bCs/>
        </w:rPr>
      </w:pPr>
      <w:r w:rsidRPr="000534DA">
        <w:rPr>
          <w:rFonts w:ascii="Times New Roman" w:hAnsi="Times New Roman" w:cs="Times New Roman"/>
          <w:b/>
          <w:bCs/>
        </w:rPr>
        <w:t>Поправка 13. О требованиях к алгоритмам и ИИ</w:t>
      </w:r>
    </w:p>
    <w:p w14:paraId="1187D366"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Локализация:</w:t>
      </w:r>
      <w:r w:rsidRPr="000534DA">
        <w:rPr>
          <w:rFonts w:ascii="Times New Roman" w:hAnsi="Times New Roman" w:cs="Times New Roman"/>
        </w:rPr>
        <w:t> Раздел IV, п. 4 (абзацы о внедрении ИИ) — дополнить.</w:t>
      </w:r>
    </w:p>
    <w:p w14:paraId="22C5A3C2"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Проблема.</w:t>
      </w:r>
      <w:r w:rsidRPr="000534DA">
        <w:rPr>
          <w:rFonts w:ascii="Times New Roman" w:hAnsi="Times New Roman" w:cs="Times New Roman"/>
        </w:rPr>
        <w:t> Нет требований к качеству алгоритмов, уровню ошибок, объяснимости, тестированию на дискриминацию, независимой проверке; нет права оспорить алгоритмическую оценку.</w:t>
      </w:r>
    </w:p>
    <w:p w14:paraId="132809B1"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Правовое основание.</w:t>
      </w:r>
      <w:r w:rsidRPr="000534DA">
        <w:rPr>
          <w:rFonts w:ascii="Times New Roman" w:hAnsi="Times New Roman" w:cs="Times New Roman"/>
        </w:rPr>
        <w:t> Ст. 16 ФЗ № 152-ФЗ; Национальная стратегия развития ИИ (Указ № 490).</w:t>
      </w:r>
    </w:p>
    <w:p w14:paraId="02089855"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Предлагаемая формулировка (дополнить):</w:t>
      </w:r>
    </w:p>
    <w:p w14:paraId="1EC89DDE" w14:textId="77777777" w:rsidR="000534DA" w:rsidRPr="000534DA" w:rsidRDefault="000534DA" w:rsidP="000534DA">
      <w:pPr>
        <w:ind w:firstLine="567"/>
        <w:jc w:val="both"/>
        <w:rPr>
          <w:rFonts w:ascii="Times New Roman" w:hAnsi="Times New Roman" w:cs="Times New Roman"/>
          <w:i/>
          <w:iCs/>
        </w:rPr>
      </w:pPr>
      <w:r w:rsidRPr="000534DA">
        <w:rPr>
          <w:rFonts w:ascii="Times New Roman" w:hAnsi="Times New Roman" w:cs="Times New Roman"/>
          <w:i/>
          <w:iCs/>
        </w:rPr>
        <w:t>«Применение технологий искусственного интеллекта в системе противодействия сопровождается обязательной оценкой их воздействия на права граждан, тестированием на дискриминацию и доступность, установлением допустимого уровня ошибок, обеспечением объяснимости решений, защитой обучающих данных от отравления и независимым аудитом. Гражданину обеспечивается право получить понятное объяснение затрагивающего его решения и оспорить алгоритмическую оценку.»</w:t>
      </w:r>
    </w:p>
    <w:p w14:paraId="115D0ED7" w14:textId="77777777" w:rsidR="000534DA" w:rsidRPr="000534DA" w:rsidRDefault="000534DA" w:rsidP="000534DA">
      <w:pPr>
        <w:ind w:firstLine="567"/>
        <w:jc w:val="both"/>
        <w:rPr>
          <w:rFonts w:ascii="Times New Roman" w:hAnsi="Times New Roman" w:cs="Times New Roman"/>
          <w:b/>
          <w:bCs/>
        </w:rPr>
      </w:pPr>
      <w:r w:rsidRPr="000534DA">
        <w:rPr>
          <w:rFonts w:ascii="Times New Roman" w:hAnsi="Times New Roman" w:cs="Times New Roman"/>
          <w:b/>
          <w:bCs/>
        </w:rPr>
        <w:t>БЛОК VI. КАСКАДНЫЕ ОШИБКИ И «ЦИФРОВАЯ ГРАЖДАНСКАЯ СМЕРТЬ»</w:t>
      </w:r>
    </w:p>
    <w:p w14:paraId="3A0F19A2" w14:textId="77777777" w:rsidR="000534DA" w:rsidRPr="000534DA" w:rsidRDefault="000534DA" w:rsidP="000534DA">
      <w:pPr>
        <w:ind w:firstLine="567"/>
        <w:jc w:val="both"/>
        <w:rPr>
          <w:rFonts w:ascii="Times New Roman" w:hAnsi="Times New Roman" w:cs="Times New Roman"/>
          <w:b/>
          <w:bCs/>
        </w:rPr>
      </w:pPr>
      <w:r w:rsidRPr="000534DA">
        <w:rPr>
          <w:rFonts w:ascii="Times New Roman" w:hAnsi="Times New Roman" w:cs="Times New Roman"/>
          <w:b/>
          <w:bCs/>
        </w:rPr>
        <w:t>Поправка 14. О локализации ошибок и экстренном восстановлении доступа</w:t>
      </w:r>
    </w:p>
    <w:p w14:paraId="70573949"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Локализация:</w:t>
      </w:r>
      <w:r w:rsidRPr="000534DA">
        <w:rPr>
          <w:rFonts w:ascii="Times New Roman" w:hAnsi="Times New Roman" w:cs="Times New Roman"/>
        </w:rPr>
        <w:t> Раздел V, п. 2 (принцип «коллективного иммунитета») — дополнить.</w:t>
      </w:r>
    </w:p>
    <w:p w14:paraId="5D3D92C3"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Проблема.</w:t>
      </w:r>
      <w:r w:rsidRPr="000534DA">
        <w:rPr>
          <w:rFonts w:ascii="Times New Roman" w:hAnsi="Times New Roman" w:cs="Times New Roman"/>
        </w:rPr>
        <w:t> Модель «коллективного иммунитета» распространяет не только истинные, но и ложные сигналы. Отсутствуют правила локализации ошибки, предельные сроки ограничений, процедура экстренного восстановления, ответственность за ложный сигнал.</w:t>
      </w:r>
    </w:p>
    <w:p w14:paraId="1E343CC0"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Правовое основание.</w:t>
      </w:r>
      <w:r w:rsidRPr="000534DA">
        <w:rPr>
          <w:rFonts w:ascii="Times New Roman" w:hAnsi="Times New Roman" w:cs="Times New Roman"/>
        </w:rPr>
        <w:t> Ст. 45, 46, 53 Конституции РФ (защита прав, возмещение вреда).</w:t>
      </w:r>
    </w:p>
    <w:p w14:paraId="550B5988"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Предлагаемая формулировка (дополнить):</w:t>
      </w:r>
    </w:p>
    <w:p w14:paraId="2F7690B2" w14:textId="77777777" w:rsidR="000534DA" w:rsidRPr="000534DA" w:rsidRDefault="000534DA" w:rsidP="000534DA">
      <w:pPr>
        <w:ind w:firstLine="567"/>
        <w:jc w:val="both"/>
        <w:rPr>
          <w:rFonts w:ascii="Times New Roman" w:hAnsi="Times New Roman" w:cs="Times New Roman"/>
          <w:i/>
          <w:iCs/>
        </w:rPr>
      </w:pPr>
      <w:r w:rsidRPr="000534DA">
        <w:rPr>
          <w:rFonts w:ascii="Times New Roman" w:hAnsi="Times New Roman" w:cs="Times New Roman"/>
          <w:i/>
          <w:iCs/>
        </w:rPr>
        <w:t>«Принцип коллективного иммунитета реализуется с обязательным обеспечением локализации ошибок: запрещается автоматическое наследование статуса риска без самостоятельной проверки участником; устанавливаются предельные сроки любых ограничений и процедура их экстренного пересмотра и восстановления доступа в сокращённые сроки. Гражданину гарантируется сохранение минимально необходимого доступа к средствам связи, получению кодов подтверждения, государственным услугам и способам обжалования. Устанавливается ответственность участника, сформировавшего ложный сигнал, а также участника, продолжившего его распространение после получения обоснованных возражений гражданина.»</w:t>
      </w:r>
    </w:p>
    <w:p w14:paraId="7299D1C8" w14:textId="77777777" w:rsidR="000534DA" w:rsidRPr="000534DA" w:rsidRDefault="000534DA" w:rsidP="000534DA">
      <w:pPr>
        <w:ind w:firstLine="567"/>
        <w:jc w:val="both"/>
        <w:rPr>
          <w:rFonts w:ascii="Times New Roman" w:hAnsi="Times New Roman" w:cs="Times New Roman"/>
          <w:b/>
          <w:bCs/>
        </w:rPr>
      </w:pPr>
      <w:r w:rsidRPr="000534DA">
        <w:rPr>
          <w:rFonts w:ascii="Times New Roman" w:hAnsi="Times New Roman" w:cs="Times New Roman"/>
          <w:b/>
          <w:bCs/>
        </w:rPr>
        <w:lastRenderedPageBreak/>
        <w:t>БЛОК VII. ЧАСТНЫЕ СУБЪЕКТЫ И ФИНАНСЫ</w:t>
      </w:r>
    </w:p>
    <w:p w14:paraId="1211CCB0" w14:textId="77777777" w:rsidR="000534DA" w:rsidRPr="000534DA" w:rsidRDefault="000534DA" w:rsidP="000534DA">
      <w:pPr>
        <w:ind w:firstLine="567"/>
        <w:jc w:val="both"/>
        <w:rPr>
          <w:rFonts w:ascii="Times New Roman" w:hAnsi="Times New Roman" w:cs="Times New Roman"/>
          <w:b/>
          <w:bCs/>
        </w:rPr>
      </w:pPr>
      <w:r w:rsidRPr="000534DA">
        <w:rPr>
          <w:rFonts w:ascii="Times New Roman" w:hAnsi="Times New Roman" w:cs="Times New Roman"/>
          <w:b/>
          <w:bCs/>
        </w:rPr>
        <w:t>Поправка 15. О статусе и ответственности частных участников</w:t>
      </w:r>
    </w:p>
    <w:p w14:paraId="4FE6261F"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Локализация:</w:t>
      </w:r>
      <w:r w:rsidRPr="000534DA">
        <w:rPr>
          <w:rFonts w:ascii="Times New Roman" w:hAnsi="Times New Roman" w:cs="Times New Roman"/>
        </w:rPr>
        <w:t> Раздел IV, п. 3 (государственно-частное взаимодействие) — дополнить.</w:t>
      </w:r>
    </w:p>
    <w:p w14:paraId="4B515737"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Проблема.</w:t>
      </w:r>
      <w:r w:rsidRPr="000534DA">
        <w:rPr>
          <w:rFonts w:ascii="Times New Roman" w:hAnsi="Times New Roman" w:cs="Times New Roman"/>
        </w:rPr>
        <w:t> Банки, операторы связи, цифровые платформы получают функции, близкие к правоохранительным, но без процессуальных ограничений. Стимулы (оценка по числу предотвращённых инцидентов) подталкивают к «блокировке с запасом». Возникает конфликт интересов: разработчик антифрод-стандартов = поставщик решений = оценщик их эффективности.</w:t>
      </w:r>
    </w:p>
    <w:p w14:paraId="0A8BBEA9"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Правовое основание.</w:t>
      </w:r>
      <w:r w:rsidRPr="000534DA">
        <w:rPr>
          <w:rFonts w:ascii="Times New Roman" w:hAnsi="Times New Roman" w:cs="Times New Roman"/>
        </w:rPr>
        <w:t> Ст. 34 Конституции РФ (свобода экономической деятельности, добросовестная конкуренция); ст. 45 Конституции РФ.</w:t>
      </w:r>
    </w:p>
    <w:p w14:paraId="2E1E1F87"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Предлагаемая формулировка (дополнить):</w:t>
      </w:r>
    </w:p>
    <w:p w14:paraId="54AC587B" w14:textId="77777777" w:rsidR="000534DA" w:rsidRPr="000534DA" w:rsidRDefault="000534DA" w:rsidP="000534DA">
      <w:pPr>
        <w:ind w:firstLine="567"/>
        <w:jc w:val="both"/>
        <w:rPr>
          <w:rFonts w:ascii="Times New Roman" w:hAnsi="Times New Roman" w:cs="Times New Roman"/>
          <w:i/>
          <w:iCs/>
        </w:rPr>
      </w:pPr>
      <w:r w:rsidRPr="000534DA">
        <w:rPr>
          <w:rFonts w:ascii="Times New Roman" w:hAnsi="Times New Roman" w:cs="Times New Roman"/>
          <w:i/>
          <w:iCs/>
        </w:rPr>
        <w:t>«Возложение на организации функций по выявлению правонарушений и применению ограничительных мер сопровождается установлением их ответственности не только за пропуск противоправной операции, но и за незаконное или необоснованное ограничение прав клиента, формирование ложного сигнала, несвоевременное снятие ограничения, незаконное распространение сведений и отказ предоставить объяснение. Показатели эффективности организаций не могут стимулировать необоснованные ограничения в отношении добросовестных клиентов. Устанавливаются правила предотвращения конфликта интересов, исключающие совмещение одним лицом функций разработки обязательных стандартов, поставки соответствующих решений и оценки их эффективности; оценка технологий осуществляется независимыми субъектами.»</w:t>
      </w:r>
    </w:p>
    <w:p w14:paraId="72CB49BC" w14:textId="77777777" w:rsidR="000534DA" w:rsidRPr="000534DA" w:rsidRDefault="000534DA" w:rsidP="000534DA">
      <w:pPr>
        <w:ind w:firstLine="567"/>
        <w:jc w:val="both"/>
        <w:rPr>
          <w:rFonts w:ascii="Times New Roman" w:hAnsi="Times New Roman" w:cs="Times New Roman"/>
          <w:b/>
          <w:bCs/>
        </w:rPr>
      </w:pPr>
      <w:r w:rsidRPr="000534DA">
        <w:rPr>
          <w:rFonts w:ascii="Times New Roman" w:hAnsi="Times New Roman" w:cs="Times New Roman"/>
          <w:b/>
          <w:bCs/>
        </w:rPr>
        <w:t>Поправка 16. Об «обратном взыскании» денежных средств</w:t>
      </w:r>
    </w:p>
    <w:p w14:paraId="7BD8B671"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Локализация:</w:t>
      </w:r>
      <w:r w:rsidRPr="000534DA">
        <w:rPr>
          <w:rFonts w:ascii="Times New Roman" w:hAnsi="Times New Roman" w:cs="Times New Roman"/>
        </w:rPr>
        <w:t> Раздел IV, п. 6 (финансовое взаимодействие и возмещение ущерба), абзац о механизме «обратного взыскания».</w:t>
      </w:r>
    </w:p>
    <w:p w14:paraId="43DC04B6"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Проблема.</w:t>
      </w:r>
      <w:r w:rsidRPr="000534DA">
        <w:rPr>
          <w:rFonts w:ascii="Times New Roman" w:hAnsi="Times New Roman" w:cs="Times New Roman"/>
        </w:rPr>
        <w:t> Окончательное списание средств со счёта получателя по решению одних лишь банков затрагивает право собственности без судебного разбирательства. Получатель может быть добросовестным (продавец, сторона семейного/договорного спора); на счёте могут быть социальные выплаты, алименты, зарплата; возможны двойной возврат и ошибочная атрибуция.</w:t>
      </w:r>
    </w:p>
    <w:p w14:paraId="6AAD971A"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Правовое основание.</w:t>
      </w:r>
      <w:r w:rsidRPr="000534DA">
        <w:rPr>
          <w:rFonts w:ascii="Times New Roman" w:hAnsi="Times New Roman" w:cs="Times New Roman"/>
        </w:rPr>
        <w:t> Ст. 35 Конституции РФ (лишение имущества — только по решению суда); ст. 446 ГПК РФ (защита минимально необходимых средств); ст. 854 ГК РФ.</w:t>
      </w:r>
    </w:p>
    <w:p w14:paraId="208AAA3F"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Предлагаемая формулировка (изложить в редакции соответствующего абзаца):</w:t>
      </w:r>
    </w:p>
    <w:p w14:paraId="02B1F8A6" w14:textId="77777777" w:rsidR="000534DA" w:rsidRPr="000534DA" w:rsidRDefault="000534DA" w:rsidP="000534DA">
      <w:pPr>
        <w:ind w:firstLine="567"/>
        <w:jc w:val="both"/>
        <w:rPr>
          <w:rFonts w:ascii="Times New Roman" w:hAnsi="Times New Roman" w:cs="Times New Roman"/>
          <w:i/>
          <w:iCs/>
        </w:rPr>
      </w:pPr>
      <w:r w:rsidRPr="000534DA">
        <w:rPr>
          <w:rFonts w:ascii="Times New Roman" w:hAnsi="Times New Roman" w:cs="Times New Roman"/>
          <w:i/>
          <w:iCs/>
        </w:rPr>
        <w:t>«Механизм возврата денежных средств отправителю строится на основе разграничения обеспечительных и окончательных мер. В спорных случаях допускается временная обеспечительная приостановка операции или блокирование средств на срок, установленный законом. Окончательное списание средств со счёта получателя без его согласия допускается только на основании судебного акта либо при бесспорном подтверждении обстоятельств в порядке, установленном федеральным законом. Обеим сторонам обеспечиваются уведомление, право представить возражения и срочный независимый пересмотр. Устанавливаются гарантии защиты минимально необходимых средств к существованию, целевых социальных выплат и алиментов, исключается двойное взыскание, предусматривается компенсация за ошибочное блокирование или списание.»</w:t>
      </w:r>
    </w:p>
    <w:p w14:paraId="009CAFE8" w14:textId="77777777" w:rsidR="000534DA" w:rsidRPr="000534DA" w:rsidRDefault="000534DA" w:rsidP="000534DA">
      <w:pPr>
        <w:ind w:firstLine="567"/>
        <w:jc w:val="both"/>
        <w:rPr>
          <w:rFonts w:ascii="Times New Roman" w:hAnsi="Times New Roman" w:cs="Times New Roman"/>
          <w:b/>
          <w:bCs/>
        </w:rPr>
      </w:pPr>
      <w:r w:rsidRPr="000534DA">
        <w:rPr>
          <w:rFonts w:ascii="Times New Roman" w:hAnsi="Times New Roman" w:cs="Times New Roman"/>
          <w:b/>
          <w:bCs/>
        </w:rPr>
        <w:t>БЛОК VIII. ДОКАЗАТЕЛЬСТВА И УЧЁТЫ</w:t>
      </w:r>
    </w:p>
    <w:p w14:paraId="16150238" w14:textId="77777777" w:rsidR="000534DA" w:rsidRPr="000534DA" w:rsidRDefault="000534DA" w:rsidP="000534DA">
      <w:pPr>
        <w:ind w:firstLine="567"/>
        <w:jc w:val="both"/>
        <w:rPr>
          <w:rFonts w:ascii="Times New Roman" w:hAnsi="Times New Roman" w:cs="Times New Roman"/>
          <w:b/>
          <w:bCs/>
        </w:rPr>
      </w:pPr>
      <w:r w:rsidRPr="000534DA">
        <w:rPr>
          <w:rFonts w:ascii="Times New Roman" w:hAnsi="Times New Roman" w:cs="Times New Roman"/>
          <w:b/>
          <w:bCs/>
        </w:rPr>
        <w:lastRenderedPageBreak/>
        <w:t>Поправка 17. О цифровом следе устройства и криминалистическом учёте</w:t>
      </w:r>
    </w:p>
    <w:p w14:paraId="3F02EBE4"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Локализация:</w:t>
      </w:r>
      <w:r w:rsidRPr="000534DA">
        <w:rPr>
          <w:rFonts w:ascii="Times New Roman" w:hAnsi="Times New Roman" w:cs="Times New Roman"/>
        </w:rPr>
        <w:t> Раздел IV, п. 4 (абзац о новой системе криминалистического учёта на основе цифрового следа устройства).</w:t>
      </w:r>
    </w:p>
    <w:p w14:paraId="6E205077"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Проблема.</w:t>
      </w:r>
      <w:r w:rsidRPr="000534DA">
        <w:rPr>
          <w:rFonts w:ascii="Times New Roman" w:hAnsi="Times New Roman" w:cs="Times New Roman"/>
        </w:rPr>
        <w:t> Цифровой отпечаток устройства не тождествен личности пользователя (общие/семейные/корпоративные устройства, кража, взлом, продажа). Не определены: круг учитываемых устройств, требование о возбуждённом деле/судебном решении, сроки хранения, учёт смены владельца, порядок оспаривания ошибочной атрибуции.</w:t>
      </w:r>
    </w:p>
    <w:p w14:paraId="68BBD1F3"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Правовое основание.</w:t>
      </w:r>
      <w:r w:rsidRPr="000534DA">
        <w:rPr>
          <w:rFonts w:ascii="Times New Roman" w:hAnsi="Times New Roman" w:cs="Times New Roman"/>
        </w:rPr>
        <w:t> Ст. 24, 49 Конституции РФ; ст. 5, 11 ФЗ № 152-ФЗ.</w:t>
      </w:r>
    </w:p>
    <w:p w14:paraId="087246B3"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Предлагаемая формулировка (дополнить):</w:t>
      </w:r>
    </w:p>
    <w:p w14:paraId="230EF854" w14:textId="77777777" w:rsidR="000534DA" w:rsidRPr="000534DA" w:rsidRDefault="000534DA" w:rsidP="000534DA">
      <w:pPr>
        <w:ind w:firstLine="567"/>
        <w:jc w:val="both"/>
        <w:rPr>
          <w:rFonts w:ascii="Times New Roman" w:hAnsi="Times New Roman" w:cs="Times New Roman"/>
          <w:i/>
          <w:iCs/>
        </w:rPr>
      </w:pPr>
      <w:r w:rsidRPr="000534DA">
        <w:rPr>
          <w:rFonts w:ascii="Times New Roman" w:hAnsi="Times New Roman" w:cs="Times New Roman"/>
          <w:i/>
          <w:iCs/>
        </w:rPr>
        <w:t>«Криминалистический учёт на основе цифрового следа устройства ведётся с соблюдением следующих условий: цифровой отпечаток устройства не отождествляется автоматически с личностью пользователя; определяются категории устройств, подлежащих учёту, и основания включения, связанные с конкретным производством; устанавливаются сроки хранения и порядок исключения сведений, в том числе при смене владельца устройства; обеспечивается право лица оспорить ошибочную атрибуцию. Формирование массива устройств, не связанного с конкретными производствами, не допускается.»</w:t>
      </w:r>
    </w:p>
    <w:p w14:paraId="105963F1" w14:textId="77777777" w:rsidR="000534DA" w:rsidRPr="000534DA" w:rsidRDefault="000534DA" w:rsidP="000534DA">
      <w:pPr>
        <w:ind w:firstLine="567"/>
        <w:jc w:val="both"/>
        <w:rPr>
          <w:rFonts w:ascii="Times New Roman" w:hAnsi="Times New Roman" w:cs="Times New Roman"/>
          <w:b/>
          <w:bCs/>
        </w:rPr>
      </w:pPr>
      <w:r w:rsidRPr="000534DA">
        <w:rPr>
          <w:rFonts w:ascii="Times New Roman" w:hAnsi="Times New Roman" w:cs="Times New Roman"/>
          <w:b/>
          <w:bCs/>
        </w:rPr>
        <w:t>Поправка 18. Об электронных доказательствах и правах защиты</w:t>
      </w:r>
    </w:p>
    <w:p w14:paraId="505BDB95"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Локализация:</w:t>
      </w:r>
      <w:r w:rsidRPr="000534DA">
        <w:rPr>
          <w:rFonts w:ascii="Times New Roman" w:hAnsi="Times New Roman" w:cs="Times New Roman"/>
        </w:rPr>
        <w:t> Раздел IV, п. 4 (абзацы о сборе, проверке, «легализации» электронных доказательств) и раздел III (приоритеты).</w:t>
      </w:r>
    </w:p>
    <w:p w14:paraId="6F03C475"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Проблема.</w:t>
      </w:r>
      <w:r w:rsidRPr="000534DA">
        <w:rPr>
          <w:rFonts w:ascii="Times New Roman" w:hAnsi="Times New Roman" w:cs="Times New Roman"/>
        </w:rPr>
        <w:t> Акцент сделан на сборе и «легализации» доказательств почти без гарантий стороны защиты. Термин «легализация сведений» допускает придание допустимости данным сомнительного происхождения через техническую процедуру. Закрытые программные комплексы могут лишать защиту возможности проверки метода.</w:t>
      </w:r>
    </w:p>
    <w:p w14:paraId="7E94BAD4"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Правовое основание.</w:t>
      </w:r>
      <w:r w:rsidRPr="000534DA">
        <w:rPr>
          <w:rFonts w:ascii="Times New Roman" w:hAnsi="Times New Roman" w:cs="Times New Roman"/>
        </w:rPr>
        <w:t> Ст. 49, 50, 123 Конституции РФ (состязательность, недопустимость доказательств, полученных с нарушением закона); ст. 75 УПК РФ.</w:t>
      </w:r>
    </w:p>
    <w:p w14:paraId="2AD060CF"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Предлагаемая формулировка (изложить в редакции / дополнить):</w:t>
      </w:r>
    </w:p>
    <w:p w14:paraId="171EC08A" w14:textId="77777777" w:rsidR="000534DA" w:rsidRPr="000534DA" w:rsidRDefault="000534DA" w:rsidP="000534DA">
      <w:pPr>
        <w:ind w:firstLine="567"/>
        <w:jc w:val="both"/>
        <w:rPr>
          <w:rFonts w:ascii="Times New Roman" w:hAnsi="Times New Roman" w:cs="Times New Roman"/>
          <w:i/>
          <w:iCs/>
        </w:rPr>
      </w:pPr>
      <w:r w:rsidRPr="000534DA">
        <w:rPr>
          <w:rFonts w:ascii="Times New Roman" w:hAnsi="Times New Roman" w:cs="Times New Roman"/>
          <w:i/>
          <w:iCs/>
        </w:rPr>
        <w:t>«Развитие института электронных (цифровых) доказательств обеспечивает равенство прав сторон и состязательность. Устанавливаются требования к подтверждённому происхождению, целостности (неизменности), документированной цепочке хранения, воспроизводимости исследования и проверке времени, контекста и авторства сведений; учитывается возможность несанкционированного доступа к учётной записи, подмены устройства, воздействия вредоносного программного обеспечения и создания синтетического (в том числе созданного средствами искусственного интеллекта) контента. Использование специализированных, в том числе сертифицированных, программно-технических средств не лишает сторону защиты права на проверку метода извлечения данных, версии средства, журналов операций и вероятности ошибки, а также на независимую экспертизу. Техническая обработка или ведомственная процедура сама по себе не придаёт допустимости сведениям, полученным с нарушением закона либо не допускающим независимой проверки.»</w:t>
      </w:r>
    </w:p>
    <w:p w14:paraId="11CD31B9" w14:textId="77777777" w:rsidR="000534DA" w:rsidRPr="000534DA" w:rsidRDefault="000534DA" w:rsidP="000534DA">
      <w:pPr>
        <w:ind w:firstLine="567"/>
        <w:jc w:val="both"/>
        <w:rPr>
          <w:rFonts w:ascii="Times New Roman" w:hAnsi="Times New Roman" w:cs="Times New Roman"/>
          <w:b/>
          <w:bCs/>
        </w:rPr>
      </w:pPr>
      <w:r w:rsidRPr="000534DA">
        <w:rPr>
          <w:rFonts w:ascii="Times New Roman" w:hAnsi="Times New Roman" w:cs="Times New Roman"/>
          <w:b/>
          <w:bCs/>
        </w:rPr>
        <w:t>БЛОК IX. КРИМИНАЛИЗАЦИЯ И ИНФРАСТРУКТУРА</w:t>
      </w:r>
    </w:p>
    <w:p w14:paraId="07F9338B" w14:textId="77777777" w:rsidR="000534DA" w:rsidRPr="000534DA" w:rsidRDefault="000534DA" w:rsidP="000534DA">
      <w:pPr>
        <w:ind w:firstLine="567"/>
        <w:jc w:val="both"/>
        <w:rPr>
          <w:rFonts w:ascii="Times New Roman" w:hAnsi="Times New Roman" w:cs="Times New Roman"/>
          <w:b/>
          <w:bCs/>
        </w:rPr>
      </w:pPr>
      <w:r w:rsidRPr="000534DA">
        <w:rPr>
          <w:rFonts w:ascii="Times New Roman" w:hAnsi="Times New Roman" w:cs="Times New Roman"/>
          <w:b/>
          <w:bCs/>
        </w:rPr>
        <w:lastRenderedPageBreak/>
        <w:t>Поправка 19. О пределах криминализации «противоправной инфраструктуры»</w:t>
      </w:r>
    </w:p>
    <w:p w14:paraId="7E3B0AD9"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Локализация:</w:t>
      </w:r>
      <w:r w:rsidRPr="000534DA">
        <w:rPr>
          <w:rFonts w:ascii="Times New Roman" w:hAnsi="Times New Roman" w:cs="Times New Roman"/>
        </w:rPr>
        <w:t> Раздел I (определение «противоправная инфраструктура») и раздел IV, п. 1 (абзац о криминализации создания/поддержки/администрирования ресурсов).</w:t>
      </w:r>
    </w:p>
    <w:p w14:paraId="3A1C1F3E"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Проблема.</w:t>
      </w:r>
      <w:r w:rsidRPr="000534DA">
        <w:rPr>
          <w:rFonts w:ascii="Times New Roman" w:hAnsi="Times New Roman" w:cs="Times New Roman"/>
        </w:rPr>
        <w:t> Объекты «противоправной инфраструктуры» (домены, хостинг, ПО, аккаунты, кошельки) в большинстве имеют двойное назначение. Криминализация без строгих признаков умысла угрожает хостинг-провайдерам, разработчикам ПО двойного назначения, исследователям безопасности, авторам средств шифрования.</w:t>
      </w:r>
    </w:p>
    <w:p w14:paraId="63E76377"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Правовое основание.</w:t>
      </w:r>
      <w:r w:rsidRPr="000534DA">
        <w:rPr>
          <w:rFonts w:ascii="Times New Roman" w:hAnsi="Times New Roman" w:cs="Times New Roman"/>
        </w:rPr>
        <w:t> Ст. 5, 8, 14 УК РФ (принцип вины, состав преступления); ст. 49 Конституции РФ.</w:t>
      </w:r>
    </w:p>
    <w:p w14:paraId="3EDFB32F"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Предлагаемая формулировка (дополнить):</w:t>
      </w:r>
    </w:p>
    <w:p w14:paraId="26E9DB95" w14:textId="77777777" w:rsidR="000534DA" w:rsidRPr="000534DA" w:rsidRDefault="000534DA" w:rsidP="000534DA">
      <w:pPr>
        <w:ind w:firstLine="567"/>
        <w:jc w:val="both"/>
        <w:rPr>
          <w:rFonts w:ascii="Times New Roman" w:hAnsi="Times New Roman" w:cs="Times New Roman"/>
          <w:i/>
          <w:iCs/>
        </w:rPr>
      </w:pPr>
      <w:r w:rsidRPr="000534DA">
        <w:rPr>
          <w:rFonts w:ascii="Times New Roman" w:hAnsi="Times New Roman" w:cs="Times New Roman"/>
          <w:i/>
          <w:iCs/>
        </w:rPr>
        <w:t>«Уголовная ответственность за создание, техническую поддержку и администрирование информационных ресурсов, предназначенных для совершения правонарушений, устанавливается при обязательном условии доказанности прямого умысла, заведомого знания лица о противоправном назначении ресурса и существенного содействия конкретной противоправной деятельности. Само по себе создание технического средства, разработка программного обеспечения двойного назначения, предоставление услуг связи или хостинга, администрирование информационного ресурса, а также деятельность по исследованию информационной безопасности не образуют состава правонарушения при отсутствии доказанных осведомлённости и умысла. Меры активного пресечения инфраструктуры на ранних этапах применяются в порядке, установленном федеральным законом, при обеспечении судебного контроля.»</w:t>
      </w:r>
    </w:p>
    <w:p w14:paraId="74999DDF" w14:textId="77777777" w:rsidR="000534DA" w:rsidRPr="000534DA" w:rsidRDefault="000534DA" w:rsidP="000534DA">
      <w:pPr>
        <w:ind w:firstLine="567"/>
        <w:jc w:val="both"/>
        <w:rPr>
          <w:rFonts w:ascii="Times New Roman" w:hAnsi="Times New Roman" w:cs="Times New Roman"/>
          <w:b/>
          <w:bCs/>
        </w:rPr>
      </w:pPr>
      <w:r w:rsidRPr="000534DA">
        <w:rPr>
          <w:rFonts w:ascii="Times New Roman" w:hAnsi="Times New Roman" w:cs="Times New Roman"/>
          <w:b/>
          <w:bCs/>
        </w:rPr>
        <w:t>БЛОК X. ПЕРСОНАЛЬНЫЕ ДАННЫЕ И СОГЛАСИЯ</w:t>
      </w:r>
    </w:p>
    <w:p w14:paraId="444A5D70" w14:textId="77777777" w:rsidR="000534DA" w:rsidRPr="000534DA" w:rsidRDefault="000534DA" w:rsidP="000534DA">
      <w:pPr>
        <w:ind w:firstLine="567"/>
        <w:jc w:val="both"/>
        <w:rPr>
          <w:rFonts w:ascii="Times New Roman" w:hAnsi="Times New Roman" w:cs="Times New Roman"/>
          <w:b/>
          <w:bCs/>
        </w:rPr>
      </w:pPr>
      <w:r w:rsidRPr="000534DA">
        <w:rPr>
          <w:rFonts w:ascii="Times New Roman" w:hAnsi="Times New Roman" w:cs="Times New Roman"/>
          <w:b/>
          <w:bCs/>
        </w:rPr>
        <w:t>Поправка 20. О платформе согласий и защите от «пакетных» согласий</w:t>
      </w:r>
    </w:p>
    <w:p w14:paraId="73EF5B0A"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Локализация:</w:t>
      </w:r>
      <w:r w:rsidRPr="000534DA">
        <w:rPr>
          <w:rFonts w:ascii="Times New Roman" w:hAnsi="Times New Roman" w:cs="Times New Roman"/>
        </w:rPr>
        <w:t> Раздел IV, п. 8 (защита персональных данных), абзацы о платформе согласий и сокращении случаев обработки на основании согласия.</w:t>
      </w:r>
    </w:p>
    <w:p w14:paraId="4084882B"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Проблема.</w:t>
      </w:r>
      <w:r w:rsidRPr="000534DA">
        <w:rPr>
          <w:rFonts w:ascii="Times New Roman" w:hAnsi="Times New Roman" w:cs="Times New Roman"/>
        </w:rPr>
        <w:t> Централизация всех согласий в ЕСИА создаёт новую точку риска (компрометация учётной записи = управление всеми согласиями) и «карту отношений» гражданина. Замена согласия на общее основание («обеспечение безопасности») без детализации ослабляет защиту.</w:t>
      </w:r>
    </w:p>
    <w:p w14:paraId="3768A513"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Правовое основание.</w:t>
      </w:r>
      <w:r w:rsidRPr="000534DA">
        <w:rPr>
          <w:rFonts w:ascii="Times New Roman" w:hAnsi="Times New Roman" w:cs="Times New Roman"/>
        </w:rPr>
        <w:t> Ст. 6, 9 ФЗ № 152-ФЗ (основания и условия обработки, требования к согласию); ст. 24 Конституции РФ.</w:t>
      </w:r>
    </w:p>
    <w:p w14:paraId="4491A05F"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Предлагаемая формулировка (дополнить):</w:t>
      </w:r>
    </w:p>
    <w:p w14:paraId="21C22784" w14:textId="77777777" w:rsidR="000534DA" w:rsidRPr="000534DA" w:rsidRDefault="000534DA" w:rsidP="000534DA">
      <w:pPr>
        <w:ind w:firstLine="567"/>
        <w:jc w:val="both"/>
        <w:rPr>
          <w:rFonts w:ascii="Times New Roman" w:hAnsi="Times New Roman" w:cs="Times New Roman"/>
          <w:i/>
          <w:iCs/>
        </w:rPr>
      </w:pPr>
      <w:r w:rsidRPr="000534DA">
        <w:rPr>
          <w:rFonts w:ascii="Times New Roman" w:hAnsi="Times New Roman" w:cs="Times New Roman"/>
          <w:i/>
          <w:iCs/>
        </w:rPr>
        <w:t xml:space="preserve">«Платформа согласий обеспечивает гражданину прозрачность обработки его персональных данных: доступ к перечню операторов, целям обработки, составу данных, истории обращений и передач, а также возможность гранулярного (раздельного) предоставления и оперативного отзыва согласий. Не допускается оформление согласий в объединённом (пакетном) виде, исключающем самостоятельный отзыв каждого из них. Централизация управления согласиями сопровождается повышенными мерами защиты соответствующей учётной записи. Сокращение случаев обработки персональных данных на основании согласия допускается только при условии определения для каждого альтернативного правового основания конкретной цели, исчерпывающего состава данных, срока </w:t>
      </w:r>
      <w:r w:rsidRPr="000534DA">
        <w:rPr>
          <w:rFonts w:ascii="Times New Roman" w:hAnsi="Times New Roman" w:cs="Times New Roman"/>
          <w:i/>
          <w:iCs/>
        </w:rPr>
        <w:lastRenderedPageBreak/>
        <w:t>хранения, перечня получателей, права на возражение и запрета использования данных в коммерческих целях.»</w:t>
      </w:r>
    </w:p>
    <w:p w14:paraId="3072C5FA" w14:textId="77777777" w:rsidR="000534DA" w:rsidRPr="000534DA" w:rsidRDefault="000534DA" w:rsidP="000534DA">
      <w:pPr>
        <w:ind w:firstLine="567"/>
        <w:jc w:val="both"/>
        <w:rPr>
          <w:rFonts w:ascii="Times New Roman" w:hAnsi="Times New Roman" w:cs="Times New Roman"/>
          <w:b/>
          <w:bCs/>
        </w:rPr>
      </w:pPr>
      <w:r w:rsidRPr="000534DA">
        <w:rPr>
          <w:rFonts w:ascii="Times New Roman" w:hAnsi="Times New Roman" w:cs="Times New Roman"/>
          <w:b/>
          <w:bCs/>
        </w:rPr>
        <w:t>Поправка 21. Об идентификации без передачи персональных данных</w:t>
      </w:r>
    </w:p>
    <w:p w14:paraId="3E21C530"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Локализация:</w:t>
      </w:r>
      <w:r w:rsidRPr="000534DA">
        <w:rPr>
          <w:rFonts w:ascii="Times New Roman" w:hAnsi="Times New Roman" w:cs="Times New Roman"/>
        </w:rPr>
        <w:t> Раздел IV, п. 8, абзац о методах идентификации без передачи ПД.</w:t>
      </w:r>
    </w:p>
    <w:p w14:paraId="30969336"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Проблема.</w:t>
      </w:r>
      <w:r w:rsidRPr="000534DA">
        <w:rPr>
          <w:rFonts w:ascii="Times New Roman" w:hAnsi="Times New Roman" w:cs="Times New Roman"/>
        </w:rPr>
        <w:t> Задача сформулирована верно, но без гарантий: технология «идентификации без передачи ПД» может фактически создавать скрытое сопоставление (те же риски, что и у ЦТ).</w:t>
      </w:r>
    </w:p>
    <w:p w14:paraId="1B9A511E"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Правовое основание.</w:t>
      </w:r>
      <w:r w:rsidRPr="000534DA">
        <w:rPr>
          <w:rFonts w:ascii="Times New Roman" w:hAnsi="Times New Roman" w:cs="Times New Roman"/>
        </w:rPr>
        <w:t> Ст. 5 ФЗ № 152-ФЗ (принцип минимизации).</w:t>
      </w:r>
    </w:p>
    <w:p w14:paraId="0A269EDA"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Предлагаемая формулировка (дополнить):</w:t>
      </w:r>
    </w:p>
    <w:p w14:paraId="06A8D875" w14:textId="77777777" w:rsidR="000534DA" w:rsidRPr="000534DA" w:rsidRDefault="000534DA" w:rsidP="000534DA">
      <w:pPr>
        <w:ind w:firstLine="567"/>
        <w:jc w:val="both"/>
        <w:rPr>
          <w:rFonts w:ascii="Times New Roman" w:hAnsi="Times New Roman" w:cs="Times New Roman"/>
          <w:i/>
          <w:iCs/>
        </w:rPr>
      </w:pPr>
      <w:r w:rsidRPr="000534DA">
        <w:rPr>
          <w:rFonts w:ascii="Times New Roman" w:hAnsi="Times New Roman" w:cs="Times New Roman"/>
          <w:i/>
          <w:iCs/>
        </w:rPr>
        <w:t xml:space="preserve">«Внедрение механизмов идентификации без передачи организациям персональных данных граждан осуществляется при условии, что такие механизмы не создают скрытого сквозного сопоставления сведений о гражданине между различными операторами, обеспечивают </w:t>
      </w:r>
      <w:proofErr w:type="spellStart"/>
      <w:r w:rsidRPr="000534DA">
        <w:rPr>
          <w:rFonts w:ascii="Times New Roman" w:hAnsi="Times New Roman" w:cs="Times New Roman"/>
          <w:i/>
          <w:iCs/>
        </w:rPr>
        <w:t>несвязываемость</w:t>
      </w:r>
      <w:proofErr w:type="spellEnd"/>
      <w:r w:rsidRPr="000534DA">
        <w:rPr>
          <w:rFonts w:ascii="Times New Roman" w:hAnsi="Times New Roman" w:cs="Times New Roman"/>
          <w:i/>
          <w:iCs/>
        </w:rPr>
        <w:t xml:space="preserve"> контекстов и подлежат независимому аудиту.»</w:t>
      </w:r>
    </w:p>
    <w:p w14:paraId="1684AA04" w14:textId="77777777" w:rsidR="000534DA" w:rsidRPr="000534DA" w:rsidRDefault="000534DA" w:rsidP="000534DA">
      <w:pPr>
        <w:ind w:firstLine="567"/>
        <w:jc w:val="both"/>
        <w:rPr>
          <w:rFonts w:ascii="Times New Roman" w:hAnsi="Times New Roman" w:cs="Times New Roman"/>
          <w:b/>
          <w:bCs/>
        </w:rPr>
      </w:pPr>
      <w:r w:rsidRPr="000534DA">
        <w:rPr>
          <w:rFonts w:ascii="Times New Roman" w:hAnsi="Times New Roman" w:cs="Times New Roman"/>
          <w:b/>
          <w:bCs/>
        </w:rPr>
        <w:t>БЛОК XI. РАВЕНСТВО И ДОСТУПНОСТЬ</w:t>
      </w:r>
    </w:p>
    <w:p w14:paraId="7A7B270D" w14:textId="77777777" w:rsidR="000534DA" w:rsidRPr="000534DA" w:rsidRDefault="000534DA" w:rsidP="000534DA">
      <w:pPr>
        <w:ind w:firstLine="567"/>
        <w:jc w:val="both"/>
        <w:rPr>
          <w:rFonts w:ascii="Times New Roman" w:hAnsi="Times New Roman" w:cs="Times New Roman"/>
          <w:b/>
          <w:bCs/>
        </w:rPr>
      </w:pPr>
      <w:r w:rsidRPr="000534DA">
        <w:rPr>
          <w:rFonts w:ascii="Times New Roman" w:hAnsi="Times New Roman" w:cs="Times New Roman"/>
          <w:b/>
          <w:bCs/>
        </w:rPr>
        <w:t>Поправка 22. О недопущении дискриминации и цифрового исключения</w:t>
      </w:r>
    </w:p>
    <w:p w14:paraId="6196287D"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Локализация:</w:t>
      </w:r>
      <w:r w:rsidRPr="000534DA">
        <w:rPr>
          <w:rFonts w:ascii="Times New Roman" w:hAnsi="Times New Roman" w:cs="Times New Roman"/>
        </w:rPr>
        <w:t> Раздел IV, п. 4 и п. 5 — дополнить задачей.</w:t>
      </w:r>
    </w:p>
    <w:p w14:paraId="589C2C89"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Проблема.</w:t>
      </w:r>
      <w:r w:rsidRPr="000534DA">
        <w:rPr>
          <w:rFonts w:ascii="Times New Roman" w:hAnsi="Times New Roman" w:cs="Times New Roman"/>
        </w:rPr>
        <w:t> Алгоритмические и биометрические системы неравномерно точны для пожилых людей, лиц с инвалидностью, пользователей старых устройств, жителей территорий со слабой связью, людей с особенностями речи/моторики. Нет обязательного тестирования на доступность и альтернативных каналов обслуживания.</w:t>
      </w:r>
    </w:p>
    <w:p w14:paraId="7A655789"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Правовое основание.</w:t>
      </w:r>
      <w:r w:rsidRPr="000534DA">
        <w:rPr>
          <w:rFonts w:ascii="Times New Roman" w:hAnsi="Times New Roman" w:cs="Times New Roman"/>
        </w:rPr>
        <w:t> Ст. 19 Конституции РФ (равенство); Конвенция о правах инвалидов (ратифицирована РФ).</w:t>
      </w:r>
    </w:p>
    <w:p w14:paraId="1CDC25D2"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Предлагаемая формулировка (дополнить):</w:t>
      </w:r>
    </w:p>
    <w:p w14:paraId="44A3B74A" w14:textId="77777777" w:rsidR="000534DA" w:rsidRPr="000534DA" w:rsidRDefault="000534DA" w:rsidP="000534DA">
      <w:pPr>
        <w:ind w:firstLine="567"/>
        <w:jc w:val="both"/>
        <w:rPr>
          <w:rFonts w:ascii="Times New Roman" w:hAnsi="Times New Roman" w:cs="Times New Roman"/>
          <w:i/>
          <w:iCs/>
        </w:rPr>
      </w:pPr>
      <w:r w:rsidRPr="000534DA">
        <w:rPr>
          <w:rFonts w:ascii="Times New Roman" w:hAnsi="Times New Roman" w:cs="Times New Roman"/>
          <w:i/>
          <w:iCs/>
        </w:rPr>
        <w:t>«При внедрении алгоритмических и биометрических систем обеспечивается обязательное тестирование на дискриминацию и доступность для различных категорий граждан. Для граждан, которые не могут или не желают использовать биометрические технологии, мобильные приложения либо современные устройства, гарантируется равноценный альтернативный способ получения услуг и защиты прав. Особенности речи, моторики, внешности, состояния здоровья, возраста или использования общих устройств не могут являться самостоятельным основанием для отнесения гражданина к категории повышенного риска.»</w:t>
      </w:r>
    </w:p>
    <w:p w14:paraId="57BB6F18" w14:textId="77777777" w:rsidR="000534DA" w:rsidRPr="000534DA" w:rsidRDefault="000534DA" w:rsidP="000534DA">
      <w:pPr>
        <w:ind w:firstLine="567"/>
        <w:jc w:val="both"/>
        <w:rPr>
          <w:rFonts w:ascii="Times New Roman" w:hAnsi="Times New Roman" w:cs="Times New Roman"/>
          <w:b/>
          <w:bCs/>
        </w:rPr>
      </w:pPr>
      <w:r w:rsidRPr="000534DA">
        <w:rPr>
          <w:rFonts w:ascii="Times New Roman" w:hAnsi="Times New Roman" w:cs="Times New Roman"/>
          <w:b/>
          <w:bCs/>
        </w:rPr>
        <w:t>БЛОК XII. РЕЕСТР ЛИЦ И ТЕХНИЧЕСКИЙ КОНТРОЛЬ</w:t>
      </w:r>
    </w:p>
    <w:p w14:paraId="4CA1C40F" w14:textId="77777777" w:rsidR="000534DA" w:rsidRPr="000534DA" w:rsidRDefault="000534DA" w:rsidP="000534DA">
      <w:pPr>
        <w:ind w:firstLine="567"/>
        <w:jc w:val="both"/>
        <w:rPr>
          <w:rFonts w:ascii="Times New Roman" w:hAnsi="Times New Roman" w:cs="Times New Roman"/>
          <w:b/>
          <w:bCs/>
        </w:rPr>
      </w:pPr>
      <w:r w:rsidRPr="000534DA">
        <w:rPr>
          <w:rFonts w:ascii="Times New Roman" w:hAnsi="Times New Roman" w:cs="Times New Roman"/>
          <w:b/>
          <w:bCs/>
        </w:rPr>
        <w:t>Поправка 23. О гарантиях при создании реестра и мерах техконтроля</w:t>
      </w:r>
    </w:p>
    <w:p w14:paraId="74EB5334"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Локализация:</w:t>
      </w:r>
      <w:r w:rsidRPr="000534DA">
        <w:rPr>
          <w:rFonts w:ascii="Times New Roman" w:hAnsi="Times New Roman" w:cs="Times New Roman"/>
        </w:rPr>
        <w:t> Раздел IV, п. 1, абзац о реестре лиц, совершивших посягательства на половую неприкосновенность несовершеннолетних, и дополнительных мерах контроля.</w:t>
      </w:r>
    </w:p>
    <w:p w14:paraId="02E3F758"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Проблема.</w:t>
      </w:r>
      <w:r w:rsidRPr="000534DA">
        <w:rPr>
          <w:rFonts w:ascii="Times New Roman" w:hAnsi="Times New Roman" w:cs="Times New Roman"/>
        </w:rPr>
        <w:t> При безусловной легитимности цели не определены: публичность/закрытость реестра, основания включения, сроки, учёт погашения судимости, возможность исключения, защита осуждённых в несовершеннолетнем возрасте, природа техконтроля. Риск превращения в бессрочное дополнительное наказание.</w:t>
      </w:r>
    </w:p>
    <w:p w14:paraId="7E948B69"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lastRenderedPageBreak/>
        <w:t>Правовое основание.</w:t>
      </w:r>
      <w:r w:rsidRPr="000534DA">
        <w:rPr>
          <w:rFonts w:ascii="Times New Roman" w:hAnsi="Times New Roman" w:cs="Times New Roman"/>
        </w:rPr>
        <w:t> Ст. 21, 23, 54 Конституции РФ (недопустимость повторного наказания, достоинство личности); ст. 86 УК РФ (погашение/снятие судимости).</w:t>
      </w:r>
    </w:p>
    <w:p w14:paraId="23B52DF0"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Предлагаемая формулировка (дополнить):</w:t>
      </w:r>
    </w:p>
    <w:p w14:paraId="78B0253A" w14:textId="77777777" w:rsidR="000534DA" w:rsidRPr="000534DA" w:rsidRDefault="000534DA" w:rsidP="000534DA">
      <w:pPr>
        <w:ind w:firstLine="567"/>
        <w:jc w:val="both"/>
        <w:rPr>
          <w:rFonts w:ascii="Times New Roman" w:hAnsi="Times New Roman" w:cs="Times New Roman"/>
          <w:i/>
          <w:iCs/>
        </w:rPr>
      </w:pPr>
      <w:r w:rsidRPr="000534DA">
        <w:rPr>
          <w:rFonts w:ascii="Times New Roman" w:hAnsi="Times New Roman" w:cs="Times New Roman"/>
          <w:i/>
          <w:iCs/>
        </w:rPr>
        <w:t>«Создание реестра лиц, совершивших преступления против половой неприкосновенности несовершеннолетних, и применение дополнительных технических мер контроля осуществляются исключительно на основании федерального закона и судебной процедуры, с определением оснований включения, сроков нахождения в реестре, порядка исключения, учёта погашения и снятия судимости, а также специальных гарантий для лиц, совершивших деяние в несовершеннолетнем возрасте. Такие меры не должны приобретать характер бессрочного или несоразмерного дополнительного наказания и должны отвечать требованиям необходимости и соразмерности.»</w:t>
      </w:r>
    </w:p>
    <w:p w14:paraId="1891287F" w14:textId="77777777" w:rsidR="000534DA" w:rsidRPr="000534DA" w:rsidRDefault="000534DA" w:rsidP="000534DA">
      <w:pPr>
        <w:ind w:firstLine="567"/>
        <w:jc w:val="both"/>
        <w:rPr>
          <w:rFonts w:ascii="Times New Roman" w:hAnsi="Times New Roman" w:cs="Times New Roman"/>
          <w:b/>
          <w:bCs/>
        </w:rPr>
      </w:pPr>
      <w:r w:rsidRPr="000534DA">
        <w:rPr>
          <w:rFonts w:ascii="Times New Roman" w:hAnsi="Times New Roman" w:cs="Times New Roman"/>
          <w:b/>
          <w:bCs/>
        </w:rPr>
        <w:t>БЛОК XIII. МЕЖДУНАРОДНАЯ ПЕРЕДАЧА ДАННЫХ</w:t>
      </w:r>
    </w:p>
    <w:p w14:paraId="13CB3E85" w14:textId="77777777" w:rsidR="000534DA" w:rsidRPr="000534DA" w:rsidRDefault="000534DA" w:rsidP="000534DA">
      <w:pPr>
        <w:ind w:firstLine="567"/>
        <w:jc w:val="both"/>
        <w:rPr>
          <w:rFonts w:ascii="Times New Roman" w:hAnsi="Times New Roman" w:cs="Times New Roman"/>
          <w:b/>
          <w:bCs/>
        </w:rPr>
      </w:pPr>
      <w:r w:rsidRPr="000534DA">
        <w:rPr>
          <w:rFonts w:ascii="Times New Roman" w:hAnsi="Times New Roman" w:cs="Times New Roman"/>
          <w:b/>
          <w:bCs/>
        </w:rPr>
        <w:t>Поправка 24. О гарантиях при международном сотрудничестве</w:t>
      </w:r>
    </w:p>
    <w:p w14:paraId="772A3880"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Локализация:</w:t>
      </w:r>
      <w:r w:rsidRPr="000534DA">
        <w:rPr>
          <w:rFonts w:ascii="Times New Roman" w:hAnsi="Times New Roman" w:cs="Times New Roman"/>
        </w:rPr>
        <w:t> Раздел IV, п. 9 (международное взаимодействие) — дополнить.</w:t>
      </w:r>
    </w:p>
    <w:p w14:paraId="29C66B94"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Проблема.</w:t>
      </w:r>
      <w:r w:rsidRPr="000534DA">
        <w:rPr>
          <w:rFonts w:ascii="Times New Roman" w:hAnsi="Times New Roman" w:cs="Times New Roman"/>
        </w:rPr>
        <w:t> Расширение обмена создаёт риск передачи биометрии, цифровых следов и финансовых данных иностранным государствам, в т. ч. по политически мотивированным запросам; после передачи контроль над данными теряется.</w:t>
      </w:r>
    </w:p>
    <w:p w14:paraId="3C19E7F4"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Правовое основание.</w:t>
      </w:r>
      <w:r w:rsidRPr="000534DA">
        <w:rPr>
          <w:rFonts w:ascii="Times New Roman" w:hAnsi="Times New Roman" w:cs="Times New Roman"/>
        </w:rPr>
        <w:t> Ст. 12 ФЗ № 152-ФЗ (трансграничная передача ПД); ст. 61, 63 Конституции РФ.</w:t>
      </w:r>
    </w:p>
    <w:p w14:paraId="48E457A7"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Предлагаемая формулировка (дополнить):</w:t>
      </w:r>
    </w:p>
    <w:p w14:paraId="7B037D9A" w14:textId="77777777" w:rsidR="000534DA" w:rsidRPr="000534DA" w:rsidRDefault="000534DA" w:rsidP="000534DA">
      <w:pPr>
        <w:ind w:firstLine="567"/>
        <w:jc w:val="both"/>
        <w:rPr>
          <w:rFonts w:ascii="Times New Roman" w:hAnsi="Times New Roman" w:cs="Times New Roman"/>
          <w:i/>
          <w:iCs/>
        </w:rPr>
      </w:pPr>
      <w:r w:rsidRPr="000534DA">
        <w:rPr>
          <w:rFonts w:ascii="Times New Roman" w:hAnsi="Times New Roman" w:cs="Times New Roman"/>
          <w:i/>
          <w:iCs/>
        </w:rPr>
        <w:t>«Международное сотрудничество и трансграничная передача данных осуществляются при соблюдении принципа двойной наказуемости, минимизации передаваемых сведений и проверки международных запросов на предмет их обоснованности. В сотрудничестве отказывается при наличии оснований полагать, что запрос имеет политически мотивированный характер либо связан с риском преследования лица за реализацию прав и свобод, применения пыток или несправедливого судебного разбирательства. Для передачи биометрических персональных данных и значительных массивов сведений устанавливаются специальные повышенные гарантии.»</w:t>
      </w:r>
    </w:p>
    <w:p w14:paraId="4FF67847" w14:textId="77777777" w:rsidR="000534DA" w:rsidRPr="000534DA" w:rsidRDefault="000534DA" w:rsidP="000534DA">
      <w:pPr>
        <w:ind w:firstLine="567"/>
        <w:jc w:val="both"/>
        <w:rPr>
          <w:rFonts w:ascii="Times New Roman" w:hAnsi="Times New Roman" w:cs="Times New Roman"/>
          <w:b/>
          <w:bCs/>
        </w:rPr>
      </w:pPr>
      <w:r w:rsidRPr="000534DA">
        <w:rPr>
          <w:rFonts w:ascii="Times New Roman" w:hAnsi="Times New Roman" w:cs="Times New Roman"/>
          <w:b/>
          <w:bCs/>
        </w:rPr>
        <w:t>БЛОК XIV. БЕЗОПАСНОСТЬ АРХИТЕКТУРЫ</w:t>
      </w:r>
    </w:p>
    <w:p w14:paraId="3D711508" w14:textId="77777777" w:rsidR="000534DA" w:rsidRPr="000534DA" w:rsidRDefault="000534DA" w:rsidP="000534DA">
      <w:pPr>
        <w:ind w:firstLine="567"/>
        <w:jc w:val="both"/>
        <w:rPr>
          <w:rFonts w:ascii="Times New Roman" w:hAnsi="Times New Roman" w:cs="Times New Roman"/>
          <w:b/>
          <w:bCs/>
        </w:rPr>
      </w:pPr>
      <w:r w:rsidRPr="000534DA">
        <w:rPr>
          <w:rFonts w:ascii="Times New Roman" w:hAnsi="Times New Roman" w:cs="Times New Roman"/>
          <w:b/>
          <w:bCs/>
        </w:rPr>
        <w:t>Поправка 25. О снижении системных рисков связности</w:t>
      </w:r>
    </w:p>
    <w:p w14:paraId="3640BA8F"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Локализация:</w:t>
      </w:r>
      <w:r w:rsidRPr="000534DA">
        <w:rPr>
          <w:rFonts w:ascii="Times New Roman" w:hAnsi="Times New Roman" w:cs="Times New Roman"/>
        </w:rPr>
        <w:t> Раздел V (механизмы реализации) либо раздел IV, п. 4 — дополнить.</w:t>
      </w:r>
    </w:p>
    <w:p w14:paraId="6C41D3F1"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Проблема.</w:t>
      </w:r>
      <w:r w:rsidRPr="000534DA">
        <w:rPr>
          <w:rFonts w:ascii="Times New Roman" w:hAnsi="Times New Roman" w:cs="Times New Roman"/>
        </w:rPr>
        <w:t> Платформа, ЕСИА, ЕБС, единый профиль, ЦТ и отраслевые антифрод-системы образуют тесно связанную экосистему, создающую единые точки отказа и высокоценную мишень для атак (включая внедрение ложных сигналов и системный сбой).</w:t>
      </w:r>
    </w:p>
    <w:p w14:paraId="346CB625"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Правовое основание.</w:t>
      </w:r>
      <w:r w:rsidRPr="000534DA">
        <w:rPr>
          <w:rFonts w:ascii="Times New Roman" w:hAnsi="Times New Roman" w:cs="Times New Roman"/>
        </w:rPr>
        <w:t> Ст. 19 ФЗ № 152-ФЗ; Доктрина информационной безопасности (Указ № 646).</w:t>
      </w:r>
    </w:p>
    <w:p w14:paraId="49946B01"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Предлагаемая формулировка (дополнить):</w:t>
      </w:r>
    </w:p>
    <w:p w14:paraId="5DD9DCBA" w14:textId="77777777" w:rsidR="000534DA" w:rsidRPr="000534DA" w:rsidRDefault="000534DA" w:rsidP="000534DA">
      <w:pPr>
        <w:ind w:firstLine="567"/>
        <w:jc w:val="both"/>
        <w:rPr>
          <w:rFonts w:ascii="Times New Roman" w:hAnsi="Times New Roman" w:cs="Times New Roman"/>
          <w:i/>
          <w:iCs/>
        </w:rPr>
      </w:pPr>
      <w:r w:rsidRPr="000534DA">
        <w:rPr>
          <w:rFonts w:ascii="Times New Roman" w:hAnsi="Times New Roman" w:cs="Times New Roman"/>
          <w:i/>
          <w:iCs/>
        </w:rPr>
        <w:t xml:space="preserve">«При построении архитектуры системы противодействия обеспечивается снижение рисков избыточной связности: применяются сегментация, изоляция критических компонентов, защита от </w:t>
      </w:r>
      <w:r w:rsidRPr="000534DA">
        <w:rPr>
          <w:rFonts w:ascii="Times New Roman" w:hAnsi="Times New Roman" w:cs="Times New Roman"/>
          <w:i/>
          <w:iCs/>
        </w:rPr>
        <w:lastRenderedPageBreak/>
        <w:t>внедрения ложных сигналов риска, ведение защищённых и неизменяемых журналов обращений и сопоставлений, а также регулярное независимое тестирование на устойчивость к атакам и к возникновению единой точки отказа. Журналы запросов и результаты сопоставления данных подлежат защите наравне с самими данными.»</w:t>
      </w:r>
    </w:p>
    <w:p w14:paraId="09F5C3D5" w14:textId="77777777" w:rsidR="000534DA" w:rsidRPr="000534DA" w:rsidRDefault="000534DA" w:rsidP="000534DA">
      <w:pPr>
        <w:ind w:firstLine="567"/>
        <w:jc w:val="both"/>
        <w:rPr>
          <w:rFonts w:ascii="Times New Roman" w:hAnsi="Times New Roman" w:cs="Times New Roman"/>
          <w:b/>
          <w:bCs/>
        </w:rPr>
      </w:pPr>
      <w:r w:rsidRPr="000534DA">
        <w:rPr>
          <w:rFonts w:ascii="Times New Roman" w:hAnsi="Times New Roman" w:cs="Times New Roman"/>
          <w:b/>
          <w:bCs/>
        </w:rPr>
        <w:t>БЛОК XV. ПРОЗРАЧНОСТЬ, КОНТРОЛЬ, ОТЧЁТНОСТЬ</w:t>
      </w:r>
    </w:p>
    <w:p w14:paraId="34668A50" w14:textId="77777777" w:rsidR="000534DA" w:rsidRPr="000534DA" w:rsidRDefault="000534DA" w:rsidP="000534DA">
      <w:pPr>
        <w:ind w:firstLine="567"/>
        <w:jc w:val="both"/>
        <w:rPr>
          <w:rFonts w:ascii="Times New Roman" w:hAnsi="Times New Roman" w:cs="Times New Roman"/>
          <w:b/>
          <w:bCs/>
        </w:rPr>
      </w:pPr>
      <w:r w:rsidRPr="000534DA">
        <w:rPr>
          <w:rFonts w:ascii="Times New Roman" w:hAnsi="Times New Roman" w:cs="Times New Roman"/>
          <w:b/>
          <w:bCs/>
        </w:rPr>
        <w:t>Поправка 26. О публичной отчётности и внешнем контроле</w:t>
      </w:r>
    </w:p>
    <w:p w14:paraId="5CD4E0EC"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Локализация:</w:t>
      </w:r>
      <w:r w:rsidRPr="000534DA">
        <w:rPr>
          <w:rFonts w:ascii="Times New Roman" w:hAnsi="Times New Roman" w:cs="Times New Roman"/>
        </w:rPr>
        <w:t> Раздел VII (организационные основы), абзацы о мониторинге и ежегодном докладе.</w:t>
      </w:r>
    </w:p>
    <w:p w14:paraId="6DC5B0F9"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Проблема.</w:t>
      </w:r>
      <w:r w:rsidRPr="000534DA">
        <w:rPr>
          <w:rFonts w:ascii="Times New Roman" w:hAnsi="Times New Roman" w:cs="Times New Roman"/>
        </w:rPr>
        <w:t> Ежегодный доклад направляется только Президенту; не предусмотрены публичность несекретной части и внешний (парламентский, судебный, прокурорский, общественный) контроль.</w:t>
      </w:r>
    </w:p>
    <w:p w14:paraId="5423283B"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Правовое основание.</w:t>
      </w:r>
      <w:r w:rsidRPr="000534DA">
        <w:rPr>
          <w:rFonts w:ascii="Times New Roman" w:hAnsi="Times New Roman" w:cs="Times New Roman"/>
        </w:rPr>
        <w:t> Ст. 24 (ч. 2), 29 Конституции РФ (доступ к информации); ст. 103 Конституции РФ (парламентский контроль).</w:t>
      </w:r>
    </w:p>
    <w:p w14:paraId="63CB4F4D"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Предлагаемая формулировка (дополнить):</w:t>
      </w:r>
    </w:p>
    <w:p w14:paraId="09AE1E15" w14:textId="77777777" w:rsidR="000534DA" w:rsidRPr="000534DA" w:rsidRDefault="000534DA" w:rsidP="000534DA">
      <w:pPr>
        <w:ind w:firstLine="567"/>
        <w:jc w:val="both"/>
        <w:rPr>
          <w:rFonts w:ascii="Times New Roman" w:hAnsi="Times New Roman" w:cs="Times New Roman"/>
          <w:i/>
          <w:iCs/>
        </w:rPr>
      </w:pPr>
      <w:r w:rsidRPr="000534DA">
        <w:rPr>
          <w:rFonts w:ascii="Times New Roman" w:hAnsi="Times New Roman" w:cs="Times New Roman"/>
          <w:i/>
          <w:iCs/>
        </w:rPr>
        <w:t>«Несекретная часть ежегодного доклада о реализации Доктрины подлежит опубликованию. В ней раскрываются обобщённые сведения о числе запросов и применённых ограничительных мер, доле ложных срабатываний, количестве отменённых решений, среднем сроке восстановления доступа, числе инцидентов утечки данных, результатах независимых аудитов, произведённых расходах и правозащитных последствиях реализации Доктрины. Наряду с ведомственным мониторингом обеспечивается парламентский, судебный, прокурорский и независимый общественный контроль, а также порядок назначения независимых экспертов и опубликования их заключений.»</w:t>
      </w:r>
    </w:p>
    <w:p w14:paraId="77C4CEB0" w14:textId="77777777" w:rsidR="000534DA" w:rsidRPr="000534DA" w:rsidRDefault="000534DA" w:rsidP="000534DA">
      <w:pPr>
        <w:ind w:firstLine="567"/>
        <w:jc w:val="both"/>
        <w:rPr>
          <w:rFonts w:ascii="Times New Roman" w:hAnsi="Times New Roman" w:cs="Times New Roman"/>
          <w:b/>
          <w:bCs/>
        </w:rPr>
      </w:pPr>
      <w:r w:rsidRPr="000534DA">
        <w:rPr>
          <w:rFonts w:ascii="Times New Roman" w:hAnsi="Times New Roman" w:cs="Times New Roman"/>
          <w:b/>
          <w:bCs/>
        </w:rPr>
        <w:t xml:space="preserve">Поправка 27. Об </w:t>
      </w:r>
      <w:proofErr w:type="spellStart"/>
      <w:r w:rsidRPr="000534DA">
        <w:rPr>
          <w:rFonts w:ascii="Times New Roman" w:hAnsi="Times New Roman" w:cs="Times New Roman"/>
          <w:b/>
          <w:bCs/>
        </w:rPr>
        <w:t>операционализации</w:t>
      </w:r>
      <w:proofErr w:type="spellEnd"/>
      <w:r w:rsidRPr="000534DA">
        <w:rPr>
          <w:rFonts w:ascii="Times New Roman" w:hAnsi="Times New Roman" w:cs="Times New Roman"/>
          <w:b/>
          <w:bCs/>
        </w:rPr>
        <w:t xml:space="preserve"> «независимой экспертизы» и экспериментальных правовых режимов</w:t>
      </w:r>
    </w:p>
    <w:p w14:paraId="543A2594"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Локализация:</w:t>
      </w:r>
      <w:r w:rsidRPr="000534DA">
        <w:rPr>
          <w:rFonts w:ascii="Times New Roman" w:hAnsi="Times New Roman" w:cs="Times New Roman"/>
        </w:rPr>
        <w:t> Раздел V, п. 2 (условия реализации сценария опережающего развития).</w:t>
      </w:r>
    </w:p>
    <w:p w14:paraId="55C0917B"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Проблема.</w:t>
      </w:r>
      <w:r w:rsidRPr="000534DA">
        <w:rPr>
          <w:rFonts w:ascii="Times New Roman" w:hAnsi="Times New Roman" w:cs="Times New Roman"/>
        </w:rPr>
        <w:t> Упомянуты «независимые эксперты» и «экспериментальные правовые режимы», но не определены порядок назначения экспертов, гарантии их независимости, публикация заключений, последствия отрицательной оценки.</w:t>
      </w:r>
    </w:p>
    <w:p w14:paraId="5799F90B"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Правовое основание.</w:t>
      </w:r>
      <w:r w:rsidRPr="000534DA">
        <w:rPr>
          <w:rFonts w:ascii="Times New Roman" w:hAnsi="Times New Roman" w:cs="Times New Roman"/>
        </w:rPr>
        <w:t> ФЗ от 31.07.2020 № 258-ФЗ «Об экспериментальных правовых режимах в сфере цифровых инноваций».</w:t>
      </w:r>
    </w:p>
    <w:p w14:paraId="48F40146"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Предлагаемая формулировка (дополнить):</w:t>
      </w:r>
    </w:p>
    <w:p w14:paraId="53E1B1F2" w14:textId="77777777" w:rsidR="000534DA" w:rsidRPr="000534DA" w:rsidRDefault="000534DA" w:rsidP="000534DA">
      <w:pPr>
        <w:ind w:firstLine="567"/>
        <w:jc w:val="both"/>
        <w:rPr>
          <w:rFonts w:ascii="Times New Roman" w:hAnsi="Times New Roman" w:cs="Times New Roman"/>
          <w:i/>
          <w:iCs/>
        </w:rPr>
      </w:pPr>
      <w:r w:rsidRPr="000534DA">
        <w:rPr>
          <w:rFonts w:ascii="Times New Roman" w:hAnsi="Times New Roman" w:cs="Times New Roman"/>
          <w:i/>
          <w:iCs/>
        </w:rPr>
        <w:t>«Порядок назначения независимых экспертов, гарантии их независимости и отсутствия конфликта интересов, а также обязательность опубликования несекретной части их заключений устанавливаются нормативно. Отрицательная оценка независимой экспертизы в сферах информационной безопасности, защиты персональных данных и национальной безопасности является основанием для приостановления соответствующего направления сценария опережающего развития. Апробация технологических решений осуществляется в рамках экспериментальных правовых режимов с ограниченным кругом участников, установленными пределами и возможностью безопасного прекращения эксперимента.»</w:t>
      </w:r>
    </w:p>
    <w:p w14:paraId="147470C0" w14:textId="77777777" w:rsidR="000534DA" w:rsidRPr="000534DA" w:rsidRDefault="000534DA" w:rsidP="000534DA">
      <w:pPr>
        <w:ind w:firstLine="567"/>
        <w:jc w:val="both"/>
        <w:rPr>
          <w:rFonts w:ascii="Times New Roman" w:hAnsi="Times New Roman" w:cs="Times New Roman"/>
          <w:b/>
          <w:bCs/>
        </w:rPr>
      </w:pPr>
      <w:r w:rsidRPr="000534DA">
        <w:rPr>
          <w:rFonts w:ascii="Times New Roman" w:hAnsi="Times New Roman" w:cs="Times New Roman"/>
          <w:b/>
          <w:bCs/>
        </w:rPr>
        <w:t>БЛОК XVI. ПОЯСНИТЕЛЬНЫЕ ДОКУМЕНТЫ (процедурная поправка)</w:t>
      </w:r>
    </w:p>
    <w:p w14:paraId="52163570" w14:textId="77777777" w:rsidR="000534DA" w:rsidRPr="000534DA" w:rsidRDefault="000534DA" w:rsidP="000534DA">
      <w:pPr>
        <w:ind w:firstLine="567"/>
        <w:jc w:val="both"/>
        <w:rPr>
          <w:rFonts w:ascii="Times New Roman" w:hAnsi="Times New Roman" w:cs="Times New Roman"/>
          <w:b/>
          <w:bCs/>
        </w:rPr>
      </w:pPr>
      <w:r w:rsidRPr="000534DA">
        <w:rPr>
          <w:rFonts w:ascii="Times New Roman" w:hAnsi="Times New Roman" w:cs="Times New Roman"/>
          <w:b/>
          <w:bCs/>
        </w:rPr>
        <w:t>Поправка 28. О необходимых предварительных оценках</w:t>
      </w:r>
    </w:p>
    <w:p w14:paraId="390CF2AA"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lastRenderedPageBreak/>
        <w:t>Локализация</w:t>
      </w:r>
      <w:proofErr w:type="gramStart"/>
      <w:r w:rsidRPr="000534DA">
        <w:rPr>
          <w:rFonts w:ascii="Times New Roman" w:hAnsi="Times New Roman" w:cs="Times New Roman"/>
          <w:b/>
          <w:bCs/>
        </w:rPr>
        <w:t>:</w:t>
      </w:r>
      <w:r w:rsidRPr="000534DA">
        <w:rPr>
          <w:rFonts w:ascii="Times New Roman" w:hAnsi="Times New Roman" w:cs="Times New Roman"/>
        </w:rPr>
        <w:t> Не</w:t>
      </w:r>
      <w:proofErr w:type="gramEnd"/>
      <w:r w:rsidRPr="000534DA">
        <w:rPr>
          <w:rFonts w:ascii="Times New Roman" w:hAnsi="Times New Roman" w:cs="Times New Roman"/>
        </w:rPr>
        <w:t xml:space="preserve"> в текст Доктрины, а в сопроводительное предложение к процедуре обсуждения (замечание к пояснительной записке и порядку принятия).</w:t>
      </w:r>
    </w:p>
    <w:p w14:paraId="40C62997"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Проблема.</w:t>
      </w:r>
      <w:r w:rsidRPr="000534DA">
        <w:rPr>
          <w:rFonts w:ascii="Times New Roman" w:hAnsi="Times New Roman" w:cs="Times New Roman"/>
        </w:rPr>
        <w:t> Пояснительная записка утверждает об отсутствии негативных последствий, хотя проект предполагает создание подразделений, ГИС, биометрической инфраструктуры, ЦТ, аудитов, региональных программ — то есть значительные расходы и влияние на бизнес.</w:t>
      </w:r>
    </w:p>
    <w:p w14:paraId="0D366ACA"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Правовое основание.</w:t>
      </w:r>
      <w:r w:rsidRPr="000534DA">
        <w:rPr>
          <w:rFonts w:ascii="Times New Roman" w:hAnsi="Times New Roman" w:cs="Times New Roman"/>
        </w:rPr>
        <w:t> Порядок ОРВ (Постановление Правительства РФ № 1318); требования к финансово-экономическому обоснованию.</w:t>
      </w:r>
    </w:p>
    <w:p w14:paraId="7BAB6E31" w14:textId="77777777" w:rsidR="000534DA" w:rsidRPr="000534DA" w:rsidRDefault="000534DA" w:rsidP="000534DA">
      <w:pPr>
        <w:ind w:firstLine="567"/>
        <w:jc w:val="both"/>
        <w:rPr>
          <w:rFonts w:ascii="Times New Roman" w:hAnsi="Times New Roman" w:cs="Times New Roman"/>
        </w:rPr>
      </w:pPr>
      <w:r w:rsidRPr="000534DA">
        <w:rPr>
          <w:rFonts w:ascii="Times New Roman" w:hAnsi="Times New Roman" w:cs="Times New Roman"/>
          <w:b/>
          <w:bCs/>
        </w:rPr>
        <w:t>Предлагаемое замечание (формулировка для внесения в отзыв):</w:t>
      </w:r>
    </w:p>
    <w:p w14:paraId="7AAF5172" w14:textId="77777777" w:rsidR="000534DA" w:rsidRPr="000534DA" w:rsidRDefault="000534DA" w:rsidP="000534DA">
      <w:pPr>
        <w:ind w:firstLine="567"/>
        <w:jc w:val="both"/>
        <w:rPr>
          <w:rFonts w:ascii="Times New Roman" w:hAnsi="Times New Roman" w:cs="Times New Roman"/>
          <w:i/>
          <w:iCs/>
        </w:rPr>
      </w:pPr>
      <w:r w:rsidRPr="000534DA">
        <w:rPr>
          <w:rFonts w:ascii="Times New Roman" w:hAnsi="Times New Roman" w:cs="Times New Roman"/>
          <w:i/>
          <w:iCs/>
        </w:rPr>
        <w:t>«До принятия проекта необходимо подготовить и опубликовать: оценку воздействия на права человека; оценку воздействия на защиту персональных данных; финансово-экономическое обоснование; анализ регулирующего воздействия на предпринимательскую деятельность и конкуренцию; модель угроз; оценку ожидаемого уровня ложных срабатываний; анализ доступности для лиц с инвалидностью; антикоррупционную экспертизу; независимую криптографическую экспертизу компонентов, связанных с цифровым токеном и биометрией. Вывод пояснительной записки об отсутствии негативных последствий подлежит пересмотру как не соответствующий</w:t>
      </w:r>
    </w:p>
    <w:p w14:paraId="05C95A1E" w14:textId="2FF7CEF7" w:rsidR="002330DD" w:rsidRPr="000534DA" w:rsidRDefault="002330DD" w:rsidP="000534DA">
      <w:pPr>
        <w:ind w:firstLine="567"/>
        <w:jc w:val="both"/>
        <w:rPr>
          <w:rFonts w:ascii="Times New Roman" w:hAnsi="Times New Roman" w:cs="Times New Roman"/>
        </w:rPr>
      </w:pPr>
    </w:p>
    <w:sectPr w:rsidR="002330DD" w:rsidRPr="000534DA" w:rsidSect="000534DA">
      <w:pgSz w:w="11906" w:h="16838"/>
      <w:pgMar w:top="1134" w:right="566"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4D2A56"/>
    <w:multiLevelType w:val="multilevel"/>
    <w:tmpl w:val="9B14E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88776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03E"/>
    <w:rsid w:val="000534DA"/>
    <w:rsid w:val="001C4D84"/>
    <w:rsid w:val="002330DD"/>
    <w:rsid w:val="0069003E"/>
    <w:rsid w:val="007B3BCE"/>
    <w:rsid w:val="007E68C8"/>
    <w:rsid w:val="00BA381D"/>
    <w:rsid w:val="00FA4B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92F19"/>
  <w15:chartTrackingRefBased/>
  <w15:docId w15:val="{60F09AE5-80B0-4235-AE8B-57A46D56A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900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6900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9003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9003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9003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9003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9003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9003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9003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003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69003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9003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9003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9003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9003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9003E"/>
    <w:rPr>
      <w:rFonts w:eastAsiaTheme="majorEastAsia" w:cstheme="majorBidi"/>
      <w:color w:val="595959" w:themeColor="text1" w:themeTint="A6"/>
    </w:rPr>
  </w:style>
  <w:style w:type="character" w:customStyle="1" w:styleId="80">
    <w:name w:val="Заголовок 8 Знак"/>
    <w:basedOn w:val="a0"/>
    <w:link w:val="8"/>
    <w:uiPriority w:val="9"/>
    <w:semiHidden/>
    <w:rsid w:val="0069003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9003E"/>
    <w:rPr>
      <w:rFonts w:eastAsiaTheme="majorEastAsia" w:cstheme="majorBidi"/>
      <w:color w:val="272727" w:themeColor="text1" w:themeTint="D8"/>
    </w:rPr>
  </w:style>
  <w:style w:type="paragraph" w:styleId="a3">
    <w:name w:val="Title"/>
    <w:basedOn w:val="a"/>
    <w:next w:val="a"/>
    <w:link w:val="a4"/>
    <w:uiPriority w:val="10"/>
    <w:qFormat/>
    <w:rsid w:val="006900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900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003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9003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9003E"/>
    <w:pPr>
      <w:spacing w:before="160"/>
      <w:jc w:val="center"/>
    </w:pPr>
    <w:rPr>
      <w:i/>
      <w:iCs/>
      <w:color w:val="404040" w:themeColor="text1" w:themeTint="BF"/>
    </w:rPr>
  </w:style>
  <w:style w:type="character" w:customStyle="1" w:styleId="22">
    <w:name w:val="Цитата 2 Знак"/>
    <w:basedOn w:val="a0"/>
    <w:link w:val="21"/>
    <w:uiPriority w:val="29"/>
    <w:rsid w:val="0069003E"/>
    <w:rPr>
      <w:i/>
      <w:iCs/>
      <w:color w:val="404040" w:themeColor="text1" w:themeTint="BF"/>
    </w:rPr>
  </w:style>
  <w:style w:type="paragraph" w:styleId="a7">
    <w:name w:val="List Paragraph"/>
    <w:basedOn w:val="a"/>
    <w:uiPriority w:val="34"/>
    <w:qFormat/>
    <w:rsid w:val="0069003E"/>
    <w:pPr>
      <w:ind w:left="720"/>
      <w:contextualSpacing/>
    </w:pPr>
  </w:style>
  <w:style w:type="character" w:styleId="a8">
    <w:name w:val="Intense Emphasis"/>
    <w:basedOn w:val="a0"/>
    <w:uiPriority w:val="21"/>
    <w:qFormat/>
    <w:rsid w:val="0069003E"/>
    <w:rPr>
      <w:i/>
      <w:iCs/>
      <w:color w:val="0F4761" w:themeColor="accent1" w:themeShade="BF"/>
    </w:rPr>
  </w:style>
  <w:style w:type="paragraph" w:styleId="a9">
    <w:name w:val="Intense Quote"/>
    <w:basedOn w:val="a"/>
    <w:next w:val="a"/>
    <w:link w:val="aa"/>
    <w:uiPriority w:val="30"/>
    <w:qFormat/>
    <w:rsid w:val="006900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9003E"/>
    <w:rPr>
      <w:i/>
      <w:iCs/>
      <w:color w:val="0F4761" w:themeColor="accent1" w:themeShade="BF"/>
    </w:rPr>
  </w:style>
  <w:style w:type="character" w:styleId="ab">
    <w:name w:val="Intense Reference"/>
    <w:basedOn w:val="a0"/>
    <w:uiPriority w:val="32"/>
    <w:qFormat/>
    <w:rsid w:val="0069003E"/>
    <w:rPr>
      <w:b/>
      <w:bCs/>
      <w:smallCaps/>
      <w:color w:val="0F4761" w:themeColor="accent1" w:themeShade="BF"/>
      <w:spacing w:val="5"/>
    </w:rPr>
  </w:style>
  <w:style w:type="character" w:styleId="ac">
    <w:name w:val="Hyperlink"/>
    <w:basedOn w:val="a0"/>
    <w:uiPriority w:val="99"/>
    <w:unhideWhenUsed/>
    <w:rsid w:val="0069003E"/>
    <w:rPr>
      <w:color w:val="467886" w:themeColor="hyperlink"/>
      <w:u w:val="single"/>
    </w:rPr>
  </w:style>
  <w:style w:type="character" w:styleId="ad">
    <w:name w:val="Unresolved Mention"/>
    <w:basedOn w:val="a0"/>
    <w:uiPriority w:val="99"/>
    <w:semiHidden/>
    <w:unhideWhenUsed/>
    <w:rsid w:val="006900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13</Pages>
  <Words>5005</Words>
  <Characters>28535</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 Мукимов</dc:creator>
  <cp:keywords/>
  <dc:description/>
  <cp:lastModifiedBy>Денис Мукимов</cp:lastModifiedBy>
  <cp:revision>1</cp:revision>
  <dcterms:created xsi:type="dcterms:W3CDTF">2026-07-22T07:33:00Z</dcterms:created>
  <dcterms:modified xsi:type="dcterms:W3CDTF">2026-07-22T10:57:00Z</dcterms:modified>
</cp:coreProperties>
</file>