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B47A" w14:textId="34C1E756" w:rsidR="00455CFA" w:rsidRPr="00EA7FD7" w:rsidRDefault="00455CFA" w:rsidP="00455CFA">
      <w:pPr>
        <w:jc w:val="center"/>
        <w:rPr>
          <w:rFonts w:ascii="Times New Roman" w:hAnsi="Times New Roman" w:cs="Times New Roman"/>
          <w:b/>
          <w:bCs/>
        </w:rPr>
      </w:pPr>
      <w:r w:rsidRPr="00EA7FD7">
        <w:rPr>
          <w:rFonts w:ascii="Times New Roman" w:hAnsi="Times New Roman" w:cs="Times New Roman"/>
          <w:b/>
          <w:bCs/>
        </w:rPr>
        <w:t>Предложения и поправки к проекту постановления Правительства РФ «Об утверждении Правил направления средств от оказания организациями федеральной почтовой связи услуг, указанных в части 1 статьи 10</w:t>
      </w:r>
      <w:r w:rsidR="001B0810" w:rsidRPr="00EA7FD7">
        <w:rPr>
          <w:rFonts w:ascii="Times New Roman" w:hAnsi="Times New Roman" w:cs="Times New Roman"/>
        </w:rPr>
        <w:t>¹</w:t>
      </w:r>
      <w:r w:rsidRPr="00EA7FD7">
        <w:rPr>
          <w:rFonts w:ascii="Times New Roman" w:hAnsi="Times New Roman" w:cs="Times New Roman"/>
          <w:b/>
          <w:bCs/>
        </w:rPr>
        <w:t xml:space="preserve"> Федерального закона “Об организации предоставления государственных и муниципальных услуг”, а также размеров платы за оказание таких услуг…»</w:t>
      </w:r>
    </w:p>
    <w:p w14:paraId="6FA4E4E1" w14:textId="23C86E0A" w:rsidR="00455CFA" w:rsidRPr="00EA7FD7" w:rsidRDefault="00455CFA" w:rsidP="00455CFA">
      <w:pPr>
        <w:jc w:val="both"/>
        <w:rPr>
          <w:rFonts w:ascii="Times New Roman" w:hAnsi="Times New Roman" w:cs="Times New Roman"/>
        </w:rPr>
      </w:pPr>
    </w:p>
    <w:p w14:paraId="26EEC2E3" w14:textId="34E465D0" w:rsidR="00641772" w:rsidRPr="00EA7FD7" w:rsidRDefault="00641772" w:rsidP="00641772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 рамках общественного обсуждения проекта нормативного правового акта «Об утверждении Правил направления средств от оказания организациями федеральной почтовой связи услуг, указанных в части 1 статьи 10</w:t>
      </w:r>
      <w:r w:rsidR="001B0810" w:rsidRPr="00EA7FD7">
        <w:rPr>
          <w:rFonts w:ascii="Times New Roman" w:hAnsi="Times New Roman" w:cs="Times New Roman"/>
        </w:rPr>
        <w:t>¹</w:t>
      </w:r>
      <w:r w:rsidRPr="00EA7FD7">
        <w:rPr>
          <w:rFonts w:ascii="Times New Roman" w:hAnsi="Times New Roman" w:cs="Times New Roman"/>
        </w:rPr>
        <w:t xml:space="preserve"> Федерального закона "Об организации предоставления государственных и муниципальных услуг", а также размеров платы за оказание таких услуг…»</w:t>
      </w:r>
      <w:r w:rsidR="001B0810">
        <w:rPr>
          <w:rFonts w:ascii="Times New Roman" w:hAnsi="Times New Roman" w:cs="Times New Roman"/>
        </w:rPr>
        <w:t>.</w:t>
      </w:r>
    </w:p>
    <w:p w14:paraId="30B73B75" w14:textId="77777777" w:rsidR="00641772" w:rsidRPr="00EA7FD7" w:rsidRDefault="00641772" w:rsidP="00641772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Отзыв направлен в установленный срок через функционал официального сайта. Прошу зарегистрировать настоящее обращение, приобщить его к материалам общественного обсуждения, рассмотреть изложенные предложения по существу и отразить позицию разработчика в сводке предложений в соответствии с пунктом 20 Правил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утверждённых постановлением Правительства Российской Федерации от 25 августа 2012 г. № 851.</w:t>
      </w:r>
    </w:p>
    <w:p w14:paraId="0070CBCD" w14:textId="77777777" w:rsidR="00641772" w:rsidRPr="00EA7FD7" w:rsidRDefault="00641772" w:rsidP="00641772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 случае полного или частичного отклонения прошу указать конкретные причины и нормативные основания такого решения применительно к каждому из одиннадцати изложенных предложений.</w:t>
      </w:r>
    </w:p>
    <w:p w14:paraId="3B775CFC" w14:textId="77777777" w:rsidR="00641772" w:rsidRPr="00EA7FD7" w:rsidRDefault="00641772" w:rsidP="00641772">
      <w:pPr>
        <w:jc w:val="both"/>
        <w:rPr>
          <w:rFonts w:ascii="Times New Roman" w:hAnsi="Times New Roman" w:cs="Times New Roman"/>
          <w:b/>
          <w:bCs/>
        </w:rPr>
      </w:pPr>
    </w:p>
    <w:p w14:paraId="3AC2C1AE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1. Пункт 2 постановления — исключить начало платного оказания услуг до формирования необходимого регулирования</w:t>
      </w:r>
    </w:p>
    <w:p w14:paraId="5C8D05DA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29266DA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пункт 2 постановления абзацами следующего содержания:</w:t>
      </w:r>
    </w:p>
    <w:p w14:paraId="4248E03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«Платное оказание услуг, предусмотренных частью 1 статьи 10¹ Федерального закона “Об организации предоставления государственных и муниципальных услуг”, допускается не ранее 1 марта 2027 г. и при условии вступления в силу и официального опубликования:</w:t>
      </w:r>
    </w:p>
    <w:p w14:paraId="00CE0A81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перечня государственных и муниципальных услуг, предусмотренного частью 1 статьи 10¹ указанного Федерального закона;</w:t>
      </w:r>
    </w:p>
    <w:p w14:paraId="7B75A1A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б) порядка предоставления услуг организациями федеральной почтовой связи, предусмотренного частью 3 статьи 10¹ указанного Федерального закона;</w:t>
      </w:r>
    </w:p>
    <w:p w14:paraId="6AC72C4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в) методики определения платы и конкретных размеров платы, предусмотренных пунктом 3 Правил, утверждённых настоящим постановлением;</w:t>
      </w:r>
    </w:p>
    <w:p w14:paraId="75FA966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г) положений, обеспечивающих добровольность выбора платных услуг, бесплатность выполнения обычных функций многофункциональных центров, возврат платы и бесплатное обслуживание в случаях, предусмотренных указанными Правилами, а также порядка финансового обеспечения такого обслуживания.</w:t>
      </w:r>
    </w:p>
    <w:p w14:paraId="2968DBF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 выполнения перечисленных условий заключение договоров с условием о плате за указанные услуги, взимание платы и приём авансовых платежей за них не допускаются.</w:t>
      </w:r>
    </w:p>
    <w:p w14:paraId="36CA5D0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Отсутствие условий для платного оказания почтовых услуг не изменяет предусмотренные законодательством условия предоставления государственных и муниципальных услуг и не является основанием для прекращения или ограничения выполнения многофункциональными центрами их обычных функций.</w:t>
      </w:r>
    </w:p>
    <w:p w14:paraId="0C5FC36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Введение и изменение размеров платы осуществляются с соблюдением срока опубликования, установленного пунктом 3 указанных Правил».</w:t>
      </w:r>
    </w:p>
    <w:p w14:paraId="50D791B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распорядительную часть постановления поручением федеральным органам исполнительной власти — разработчикам соответствующих актов подготовить согласованный пакет регулирования и предложения по финансовому обеспечению бесплатного обслуживания до начала платного оказания услуг.</w:t>
      </w:r>
    </w:p>
    <w:p w14:paraId="78FF0BA0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6B6DDEA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Платёж должен иметь заранее определённые предмет, размер и условия взимания. Одного верхнего предела недостаточно для информированного выбора и проверки правильности конкретного платежа.</w:t>
      </w:r>
    </w:p>
    <w:p w14:paraId="71038B4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Начало платного оказания услуг без одновременно действующих гарантий создаёт риск того, что защитные процедуры будут введены после возникновения спорных платежей.</w:t>
      </w:r>
    </w:p>
    <w:p w14:paraId="3003F2B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Предлагаемая норма не возлагает на исполнителя обязанность оказывать любые почтовые услуги бесплатно в неопределённый переходный период; она запрещает преждевременный запуск платного режима и одновременно сохраняет обычное обслуживание в МФЦ.</w:t>
      </w:r>
    </w:p>
    <w:p w14:paraId="22827BE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Финансирование бесплатного обслуживания необходимо определить до введения льгот и нулевых тарифов, чтобы защита заявителя не оставалась декларативной.</w:t>
      </w:r>
    </w:p>
    <w:p w14:paraId="02D7C2E2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2. Пункт 1 Правил — разграничить государственную услугу, обычные функции МФЦ и добровольно выбранные почтовые услуги</w:t>
      </w:r>
    </w:p>
    <w:p w14:paraId="2A5BFE8B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2640D4F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Изложить пункт 1 Правил в следующей редакции:</w:t>
      </w:r>
    </w:p>
    <w:p w14:paraId="2036061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«1. Настоящие Правила устанавливают порядок направления средств, полученных организациями федеральной почтовой связи за оказание услуг, предусмотренных частью 1 статьи 10¹ Федерального закона “Об организации предоставления государственных и муниципальных услуг” (далее — Федеральный закон), порядок определения платы за такие услуги и гарантии прав заявителей при её взимании.</w:t>
      </w:r>
    </w:p>
    <w:p w14:paraId="53950A81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Многофункциональные центры предоставления государственных и муниципальных услуг (далее — многофункциональные центры) участвуют в оказании указанных услуг при наличии соглашения о взаимодействии с организацией федеральной почтовой связи и в пределах функций, предусмотренных статьёй 16 Федерального закона. Такое участие само по себе не предоставляет многофункциональному центру право вводить самостоятельную плату за выполнение его обычных функций.</w:t>
      </w:r>
    </w:p>
    <w:p w14:paraId="17C0E8C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Государственные и муниципальные услуги предоставляются на бесплатной основе с учётом исключений, предусмотренных частями 2 и 3 статьи 8 Федерального закона. Настоящие Правила не устанавливают новые основания для взимания государственной пошлины или платы за предоставление самой государственной или муниципальной услуги.</w:t>
      </w:r>
    </w:p>
    <w:p w14:paraId="5EAE118C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Плата по настоящим Правилам взимается только за выбранные заявителем или его уполномоченным представителем услуги организации федеральной почтовой связи:</w:t>
      </w:r>
    </w:p>
    <w:p w14:paraId="56E4151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приём заявления о предоставлении государственной или муниципальной услуги и доставку такого заявления адресату;</w:t>
      </w:r>
    </w:p>
    <w:p w14:paraId="070A803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б) доставку и вручение результата предоставления государственной или муниципальной услуги заявителю или его уполномоченному представителю либо в выбранное ими отделение почтовой связи.</w:t>
      </w:r>
    </w:p>
    <w:p w14:paraId="38E52B19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Услуги, указанные в подпунктах “а” и “б” настоящего пункта, выбираются и оплачиваются независимо друг от друга. Приём заявления и его доставка адресату в рамках подпункта “а” не могут искусственно дробиться на самостоятельные обязательные платежи. Аналогично не допускается искусственное дробление доставки и вручения результата в рамках подпункта “б”.</w:t>
      </w:r>
    </w:p>
    <w:p w14:paraId="4AB3409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Отказ от указанных почтовых услуг не является основанием для отказа в предоставлении государственной или муниципальной услуги и не препятствует обращению за ней и получению её результата иными способами, предусмотренными законодательством для соответствующей услуги.</w:t>
      </w:r>
    </w:p>
    <w:p w14:paraId="59C29B6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Положения настоящих Правил не изменяют специальных требований, непосредственно установленных законодательством Российской Федерации для предоставления конкретной государственной или муниципальной услуги».</w:t>
      </w:r>
    </w:p>
    <w:p w14:paraId="19D0AC7E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75760AB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Статья 10¹ Федерального закона предусматривает отдельные почтовые услуги и их оказание по выбору заявителей, а не общую плату за получение государственных услуг в МФЦ.</w:t>
      </w:r>
    </w:p>
    <w:p w14:paraId="4C86812C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Часть 4 статьи 10¹ требует соглашения о взаимодействии и ограничивает участие МФЦ его законными функциями. Это необходимо отразить непосредственно в Правилах вместо неопределённой формулы самостоятельного оказания услуг почтой «и (или)» МФЦ.</w:t>
      </w:r>
    </w:p>
    <w:p w14:paraId="5F165BB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Раздельный выбор двух предусмотренных законом услуг предотвращает навязывание комплекта «подача плюс получение», а запрет дробления защищает от дополнительных обязательных платежей внутри каждой из них.</w:t>
      </w:r>
    </w:p>
    <w:p w14:paraId="77C9301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Оговорка об исключениях статьи 8 сохраняет законные государственные пошлины и иные установленные платежи, не смешивая их с новым почтовым тарифом.</w:t>
      </w:r>
    </w:p>
    <w:p w14:paraId="7C465CBC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3. Пункт 2 Правил — конкретизировать расходы, распределение средств, раздельный учёт и отчётность</w:t>
      </w:r>
    </w:p>
    <w:p w14:paraId="326080AC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3B35215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Изложить пункт 2 Правил в следующей редакции:</w:t>
      </w:r>
    </w:p>
    <w:p w14:paraId="004E200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«2. Средства, полученные в виде платы за услуги, предусмотренные пунктом 1 настоящих Правил, направляются на обеспечение финансово-хозяйственной деятельности организации федеральной почтовой связи и деятельности участвующего в оказании соответствующих услуг многофункционального центра по следующим направлениям:</w:t>
      </w:r>
    </w:p>
    <w:p w14:paraId="502EFF8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оплата труда работников в части выполнения ими операций, связанных с оказанием указанных услуг, и начисления на соответствующие выплаты;</w:t>
      </w:r>
    </w:p>
    <w:p w14:paraId="360D181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б) закупка товаров, работ и услуг, необходимых для оказания указанных услуг;</w:t>
      </w:r>
    </w:p>
    <w:p w14:paraId="2F60ED0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в) расходы на связь, перевозку и доставку документов, коммунальные услуги, аренду и содержание помещений, расходные материалы, содержание и обслуживание оборудования, используемых при оказании указанных услуг, в доле, относимой на оказание этих услуг.</w:t>
      </w:r>
    </w:p>
    <w:p w14:paraId="347165B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Отнесение общих расходов на оказание указанных услуг осуществляется по заранее утверждённой учётной политике с использованием проверяемых показателей: фактического рабочего времени, объёма операций, используемой площади либо иных экономически обоснованных измеримых показателей. Выбранные показатели применяются последовательно; их изменение и его причины отражаются в отчётности.</w:t>
      </w:r>
    </w:p>
    <w:p w14:paraId="7D578D8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Использование поступлений на расходы, не предусмотренные настоящим пунктом, и повторное включение одних и тех же расходов в несколько направлений не допускаются.</w:t>
      </w:r>
    </w:p>
    <w:p w14:paraId="22DD0D1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Средства передаются многофункциональному центру только при его фактическом участии в оказании услуг по соглашению, предусмотренному частью 4 статьи 10¹ Федерального закона. Размер передаваемой суммы определяется исходя из выполненных операций и затрат на них по единым правилам распределения, утверждаемым Правительством Российской Федерации. Перечисление производится не позднее тридцати календарных дней после окончания отчётного месяца на основании документов о выполненных операциях. Отсутствие соглашения или документально подтверждённого участия исключает перечисление средств многофункциональному центру.</w:t>
      </w:r>
    </w:p>
    <w:p w14:paraId="154B38C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Соглашение должно определять состав операций каждого участника, порядок подтверждения их выполнения, расчётов и сверки, распределение обязанностей по информированию и возврату платы. Оно не может увеличивать цену для заявителя, изменять основания бесплатного обслуживания или ограничивать его права.</w:t>
      </w:r>
    </w:p>
    <w:p w14:paraId="01CE81A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Учёт поступлений, распределения средств, возвратов и расходов ведётся обособленно в составе бухгалтерского учёта каждого участника с применением аналитических счетов либо регистров, позволяющих проверить соответствующие операции. Использование общего банковского счёта не освобождает от обособленного учёта.</w:t>
      </w:r>
    </w:p>
    <w:p w14:paraId="6A50256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Не позднее 1 марта года, следующего за отчётным, каждый участник размещает на своём официальном сайте отчёт об объёме поступлений, возвратов, перечислений между участниками и расходовании средств по направлениям, установленным настоящим пунктом, а также о количестве операций, выполненных за плату и бесплатно. Отчёт не должен содержать персональных данных заявителей.</w:t>
      </w:r>
    </w:p>
    <w:p w14:paraId="1FB7BC6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Форма отчёта и единые правила распределения средств утверждаются Правительством Российской Федерации до начала взимания платы. Участники представляют подтверждающие документы органам, осуществляющим контроль в пределах установленной законодательством компетенции. Публичная отчётность не заменяет предусмотренные законодательством формы контроля».</w:t>
      </w:r>
    </w:p>
    <w:p w14:paraId="66C4BAE6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2442FBD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Предлагается установить проверяемую связь поступлений с затратами на соответствующее обслуживание. Это дополнительная модель прозрачности, а не утверждение о том, что федеральный закон уже содержит подобный закрытый перечень.</w:t>
      </w:r>
    </w:p>
    <w:p w14:paraId="38C3813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2. Ограничение только подпункта об «иных расходах» не устраняет возможность отнесения на эти поступления всей заработной платы или общих закупок. Требуется согласованная редакция всех направлений расходов.</w:t>
      </w:r>
    </w:p>
    <w:p w14:paraId="3F40808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Раздельный учёт и правила распределения общих затрат позволяют исключить повторный учёт расходов и проверить расчёты между почтой и МФЦ.</w:t>
      </w:r>
    </w:p>
    <w:p w14:paraId="288FB6A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 xml:space="preserve">4. Участие МФЦ не должно приводить </w:t>
      </w:r>
      <w:proofErr w:type="gramStart"/>
      <w:r w:rsidRPr="00EA7FD7">
        <w:rPr>
          <w:rFonts w:ascii="Times New Roman" w:hAnsi="Times New Roman" w:cs="Times New Roman"/>
        </w:rPr>
        <w:t>к второму</w:t>
      </w:r>
      <w:proofErr w:type="gramEnd"/>
      <w:r w:rsidRPr="00EA7FD7">
        <w:rPr>
          <w:rFonts w:ascii="Times New Roman" w:hAnsi="Times New Roman" w:cs="Times New Roman"/>
        </w:rPr>
        <w:t xml:space="preserve"> платежу заявителя. Распределяться должны уже полученные средства по единым правилам, а не произвольно назначенные дополнительные сборы.</w:t>
      </w:r>
    </w:p>
    <w:p w14:paraId="2C5FD973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4. Пункт 3 Правил — установить конкретные тарифы, единый совокупный предел и запрет скрытых доплат</w:t>
      </w:r>
    </w:p>
    <w:p w14:paraId="7425D901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6B02FF7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Изложить пункт 3 Правил в следующей редакции:</w:t>
      </w:r>
    </w:p>
    <w:p w14:paraId="6D0F34B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«3. Методика определения платы и конкретные размеры платы за услуги, указанные в подпунктах “а” и “б” пункта 1 настоящих Правил, утверждаются Правительством Российской Федерации. Проекты методики и размеров платы подготавливаются Министерством цифрового развития, связи и массовых коммуникаций Российской Федерации совместно с Министерством экономического развития Российской Федерации и по согласованию с Федеральной антимонопольной службой.</w:t>
      </w:r>
    </w:p>
    <w:p w14:paraId="7B6580F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Методика должна предусматривать определение экономически обоснованных затрат на соответствующие операции, их состав и распределение, критерии территориальной дифференциации и порядок пересмотра тарифов. В тариф не включаются расходы, не связанные с соответствующими операциями, и затраты, уже возмещаемые за счёт иных источников финансирования.</w:t>
      </w:r>
    </w:p>
    <w:p w14:paraId="001201D1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Размеры платы устанавливаются отдельно для каждой из двух услуг. При сопоставимых составе операций и условиях оказания применяются одинаковые размеры платы независимо от вида государственной или муниципальной услуги. Различия должны основываться на проверяемых различиях затрат, а не на размере выплаты, цене имущества или иных обстоятельствах, не связанных с затратами на почтовую услугу.</w:t>
      </w:r>
    </w:p>
    <w:p w14:paraId="4DDC604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Совокупная сумма платы по настоящим Правилам за приём и доставку одного заявления и за доставку и вручение результата по нему не может превышать 5 000 рублей. Предел применяется ко всем обязательным платежам за эти операции в совокупности независимо от количества участников, этапов пересылки и наименований платежей.</w:t>
      </w:r>
    </w:p>
    <w:p w14:paraId="1A675EB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Не допускаются повторная оплата одной операции, отдельная плата МФЦ сверх утверждённого тарифа, обязательные сервисные, технические, информационные и иные доплаты, а также обязательное приобретение иных товаров или услуг для выполнения предусмотренных настоящими Правилами операций. Искусственное разделение одного заявления или результата на несколько платных отправлений в целях обхода предела не допускается.</w:t>
      </w:r>
    </w:p>
    <w:p w14:paraId="0AA9537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Государственная пошлина и иные платежи за предоставление самой государственной или муниципальной услуги, имеющие самостоятельное установленное законодательством основание, не входят в указанный предел и указываются отдельно от почтовой платы. Настоящее положение не является основанием для введения новых платежей.</w:t>
      </w:r>
    </w:p>
    <w:p w14:paraId="1CF3026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Полная цена выбранной почтовой услуги сообщается до оформления заказа и внесения платы и включает все обязательные расходы на её исполнение. После оформления заказа её увеличение без отдельного информированного согласия заявителя не допускается. Такое согласие не отменяет совокупного предела и запрета обязательных доплат.</w:t>
      </w:r>
    </w:p>
    <w:p w14:paraId="31AFCF8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 случаях, предусмотренных пунктами 4, 7 и 8 настоящих Правил, применяется нулевой размер платы.</w:t>
      </w:r>
    </w:p>
    <w:p w14:paraId="40BA65E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Методика, тарифы и их изменения подлежат официальному опубликованию не позднее чем за девяносто календарных дней до начала применения. На официальных сайтах участников и в местах обслуживания размещаются действующие тарифы, состав включённых операций и сведения об основаниях бесплатного обслуживания. Взимание платы по неопубликованному тарифу не допускается».</w:t>
      </w:r>
    </w:p>
    <w:p w14:paraId="49E36D23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34DEAFF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Предлагаемая редакция прямо определяет субъект утверждения тарифов, не оставляя конкретный размер платежа на усмотрение отдельной организации.</w:t>
      </w:r>
    </w:p>
    <w:p w14:paraId="5E1208F9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Предел должен относиться к совокупности двух почтовых услуг по одному заявлению; иначе сохраняется риск двух платежей по 5 000 рублей и дополнительных сборов участников.</w:t>
      </w:r>
    </w:p>
    <w:p w14:paraId="74EF1BA9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Опубликованная методика и полный состав цены позволяют сопоставлять условия, проверять расчёт и оспаривать необоснованные начисления.</w:t>
      </w:r>
    </w:p>
    <w:p w14:paraId="14050F1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Территориальная дифференциация допустима только по объективным критериям затрат и не должна подменяться произвольным назначением цены под единый потолок.</w:t>
      </w:r>
    </w:p>
    <w:p w14:paraId="2121BAF5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5. Правила — дополнить пунктом 4 о добровольности, бесплатной очной альтернативе и подтверждении выбора</w:t>
      </w:r>
    </w:p>
    <w:p w14:paraId="260E004E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022E65C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Правила пунктом 4 следующего содержания:</w:t>
      </w:r>
    </w:p>
    <w:p w14:paraId="4902B0D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«4. Плата за выбранную почтовую услугу взимается только при одновременном соблюдении следующих условий:</w:t>
      </w:r>
    </w:p>
    <w:p w14:paraId="07483C5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заявителю обеспечена фактически доступная возможность без дополнительной платы выполнить действие, заменяемое выбранной почтовой услугой, — подать заявление либо получить результат соответствующей государственной или муниципальной услуги — при личном обращении в уполномоченный орган или многофункциональный центр, выполняющий это действие в отношении соответствующей услуги, без обязательного использования электронного портала. Доступность оценивается с учётом пункта 8 настоящих Правил, режима работы, возможности записи в предусмотренные сроки и индивидуальных ограничений мобильности;</w:t>
      </w:r>
    </w:p>
    <w:p w14:paraId="793FEAE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б) до оформления заказа и внесения платы заявителю предоставлена информация о предмете и полной цене почтовой услуги, сроке её исполнения, исполнителе, правилах отказа и возврата, а также о доступных способах обычного бесплатного обращения с адресами, режимом работы и порядком записи;</w:t>
      </w:r>
    </w:p>
    <w:p w14:paraId="2424D36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в) заявитель отдельно выбрал соответствующую почтовую услугу и выразил добровольное информированное согласие на её оказание за указанную цену;</w:t>
      </w:r>
    </w:p>
    <w:p w14:paraId="33CEE49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г) отсутствуют основания бесплатного обслуживания, предусмотренные пунктами 7 и 8 настоящих Правил.</w:t>
      </w:r>
    </w:p>
    <w:p w14:paraId="232379D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Отсутствие фактически доступной очной альтернативы на этапе, заменяемом выбранной почтовой услугой, влечёт применение нулевого размера платы за эту почтовую услугу в отношении государственной или муниципальной услуги, допускающей личное обращение. Специальные требования законодательства к услугам, для которых установлен исключительно иной способ обращения, настоящим пунктом не изменяются.</w:t>
      </w:r>
    </w:p>
    <w:p w14:paraId="230563C1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Уведомление и согласие оформляются на бумаге либо в допускаемой законодательством электронной форме. Их копии предоставляются заявителю до оплаты выбранным им доступным способом. Электронное оформление не может навязываться лицу, обратившемуся лично и не выбравшему электронный способ взаимодействия.</w:t>
      </w:r>
    </w:p>
    <w:p w14:paraId="20D09D4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 согласии указываются выбранная почтовая услуга, полная цена, срок исполнения и согласованный способ доставки либо вручения. Согласие на одну услугу не означает согласия на другую. Подписание заявления о предоставлении государственной услуги, молчание, заранее проставленная отметка или общее согласие с правилами обслуживания не заменяют отдельного выбора платной услуги.</w:t>
      </w:r>
    </w:p>
    <w:p w14:paraId="7E2DC50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Невозможность самостоятельно подписать документ не может служить основанием для навязывания платной услуги или отказа в положенном бесплатном обслуживании. Выбор фиксируется способом, допускаемым законодательством для соответствующей ситуации; при обращении представителя проверяются его полномочия.</w:t>
      </w:r>
    </w:p>
    <w:p w14:paraId="3CEC14B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Обязанность подтвердить предоставление информации, выбор услуги, согласование цены и наличие основания взимания платы возлагается на исполнителя. Подпись под уведомлением сама по себе не доказывает фактической доступности бесплатной альтернативы.</w:t>
      </w:r>
    </w:p>
    <w:p w14:paraId="47E306B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Отсутствие согласия исключает оказание соответствующей почтовой услуги за плату. Последствия отказа от оплаты самой добровольно выбранной платной почтовой услуги не распространяются на право получить государственную или муниципальную услугу и воспользоваться предусмотренным бесплатным способом обращения».</w:t>
      </w:r>
    </w:p>
    <w:p w14:paraId="6B86A08E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26CA5941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Выбор, предусмотренный частью 1 статьи 10¹ Федерального закона, должен быть осознанным и подтверждаемым, а не выводиться из самого факта посещения МФЦ или почтового отделения.</w:t>
      </w:r>
    </w:p>
    <w:p w14:paraId="3BCEDB3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Формальное существование органа или сайта не означает доступности обычного бесплатного обращения. Необходимо учитывать полномочия конкретного подразделения и фактическую возможность воспользоваться им.</w:t>
      </w:r>
    </w:p>
    <w:p w14:paraId="09BCCD9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Раздельное согласие, копия уведомления и запрет заранее проставленных отметок уменьшают риск навязанного заказа. Предлагаемые требования согласуются с защитной направленностью статьи 16 Закона Российской Федерации “О защите прав потребителей” там, где этот закон применим.</w:t>
      </w:r>
    </w:p>
    <w:p w14:paraId="2B26B51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Согласие на почтовую услугу не подменяет предусмотренные законодательством основания обработки персональных данных; необходимые документы по персональным данным оформляются отдельно в случаях и порядке, установленных законом.</w:t>
      </w:r>
    </w:p>
    <w:p w14:paraId="06FE6B3C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lastRenderedPageBreak/>
        <w:t>ПОПРАВКА № 6. Правила — дополнить пунктом 5 о запрете навязывания платного и цифрового способа</w:t>
      </w:r>
    </w:p>
    <w:p w14:paraId="69648688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5089EFE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Правила пунктом 5 следующего содержания:</w:t>
      </w:r>
    </w:p>
    <w:p w14:paraId="56C5BC0C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«5. При оказании услуг и выполнении функций, регулируемых настоящими Правилами, запрещается:</w:t>
      </w:r>
    </w:p>
    <w:p w14:paraId="7ACC029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устанавливать для обычного очного обращения дополнительные требования о регистрации в единой системе идентификации и аутентификации, создании личного кабинета на электронном портале, наличии электронной подписи, смартфона, номера мобильного телефона или электронной почты, если такие требования не установлены законодательством Российской Федерации для соответствующей услуги и выбранного способа обращения. Договор или соглашение участников не может устанавливать такие требования самостоятельно;</w:t>
      </w:r>
    </w:p>
    <w:p w14:paraId="7F8CE3E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б) переводить заявителя на платное почтовое обслуживание без его отдельного выбора либо представлять платную доставку как единственный способ получения результата, если законодательством предусмотрен иной доступный способ;</w:t>
      </w:r>
    </w:p>
    <w:p w14:paraId="5B0EF40C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в) отказывать в выполнении обычных функций МФЦ, создавать дополнительную очередь, изменять предусмотренные сроки или иным образом ухудшать условия бесплатного обращения в связи с отказом от платной почтовой услуги;</w:t>
      </w:r>
    </w:p>
    <w:p w14:paraId="67B54AF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г) взимать дополнительную плату за исправление ошибок, допущенных по вине исполнителя, участвующего МФЦ или их работников. Если из-за таких ошибок требуется повторная пересылка либо вручение, они осуществляются без дополнительной платы. Правило части 4 статьи 8 Федерального закона об исправлении ошибок в выданном результате сохраняется;</w:t>
      </w:r>
    </w:p>
    <w:p w14:paraId="310916E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д) включать в почтовой тариф действия, которые в конкретной ситуации многофункциональный центр обязан выполнить без дополнительной платы в рамках своих обычных функций, либо взимать оплату почтовой услуги, которая заявителем не выбрана или фактически не оказана;</w:t>
      </w:r>
    </w:p>
    <w:p w14:paraId="44C098D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е) объявлять получение государственной услуги через электронный портал универсальной заменой доступного бесплатного очного обращения и на этом основании отклонять применение гарантий настоящих Правил;</w:t>
      </w:r>
    </w:p>
    <w:p w14:paraId="2BB3A8A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ж) удерживать заявление, документы или результат по спору о плате за почтовые услуги. При таком споре обеспечиваются предусмотренные законодательством передача, возврат либо получение документов иным согласованным законным способом.</w:t>
      </w:r>
    </w:p>
    <w:p w14:paraId="2658D10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Отсутствие цифровой регистрации или технических средств у заявителя не является самостоятельным основанием для отказа в обычном очном обслуживании, для которого законодательство не устанавливает соответствующего требования.</w:t>
      </w:r>
    </w:p>
    <w:p w14:paraId="3857B749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 местах обслуживания и на официальных сайтах размещаются сведения о бесплатном выполнении обычных функций МФЦ, отличиях почтовых услуг, тарифах, основаниях бесплатного обслуживания и порядке обжалования. По обращению заявителя эти сведения предоставляются устно и на бумаге в доступной форме».</w:t>
      </w:r>
    </w:p>
    <w:p w14:paraId="181F38C6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lastRenderedPageBreak/>
        <w:t>Обоснование:</w:t>
      </w:r>
    </w:p>
    <w:p w14:paraId="00D1C1D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Требуется исключить ситуацию, когда бесплатность обычного обращения фактически зависит от приобретения иной услуги либо цифровой регистрации, не предусмотренной для этого способа обращения.</w:t>
      </w:r>
    </w:p>
    <w:p w14:paraId="0A05707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Запрет относится к дополнительным требованиям участников и не отменяет обязательные требования законодательства к конкретной государственной услуге.</w:t>
      </w:r>
    </w:p>
    <w:p w14:paraId="0DB8D45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Отказ от платной почтовой услуги не должен ухудшать обычное обслуживание. При этом не вводится обязанность бесплатно исполнять любой произвольно заказанный почтовой сервис вне предусмотренных оснований.</w:t>
      </w:r>
    </w:p>
    <w:p w14:paraId="06B6A85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Повторные действия, необходимые из-за ошибки исполнителя, не должны финансироваться за счёт нового платежа пострадавшего заявителя. Вопросы ответственности оцениваются по применимому законодательству и обстоятельствам нарушения, а не предполагаются автоматически.</w:t>
      </w:r>
    </w:p>
    <w:p w14:paraId="28640F0B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7. Правила — дополнить пунктом 6 о возврате платы, рассмотрении требований и возмещении убытков</w:t>
      </w:r>
    </w:p>
    <w:p w14:paraId="21A1F280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5CE0DDF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Правила пунктом 6 следующего содержания:</w:t>
      </w:r>
    </w:p>
    <w:p w14:paraId="39B1586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«6. Плата за соответствующую почтовую услугу возвращается полностью в случаях:</w:t>
      </w:r>
    </w:p>
    <w:p w14:paraId="6398C0E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взимания без надлежащего согласия заявителя, при наличии основания бесплатного обслуживания либо за незаказанную или неоказанную услугу;</w:t>
      </w:r>
    </w:p>
    <w:p w14:paraId="762D502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б) отказа заявителя до начала исполнения заказа;</w:t>
      </w:r>
    </w:p>
    <w:p w14:paraId="4369F4F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в) неисполнения услуги либо существенного нарушения условий её исполнения, в том числе утраты документов, повреждения, препятствующего их использованию, или несоблюдения согласованного срока либо способа доставки, если нарушение относится к действиям исполнителя или участвующего МФЦ;</w:t>
      </w:r>
    </w:p>
    <w:p w14:paraId="52E8668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г) иных оснований полного возврата, предусмотренных законодательством Российской Федерации.</w:t>
      </w:r>
    </w:p>
    <w:p w14:paraId="38B3047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При превышении установленной цены и сохранении надлежащим образом оказанной согласованной услуги возвращается излишне взысканная сумма; это не ограничивает право заявителя на полный возврат при наличии самостоятельного законного основания. При частичном исполнении, не имеющем для заявителя самостоятельной потребительской ценности, возвращается вся плата за соответствующую услугу.</w:t>
      </w:r>
    </w:p>
    <w:p w14:paraId="46C0246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При отказе заявителя после начала надлежащего исполнения и отсутствии нарушения исполнителя возможное удержание допускается только в пределах фактически понесённых и документально подтверждённых расходов и только в случаях, в которых такое удержание допускается законодательством. Штраф за отказ, неполученный доход и произвольно установленный процент тарифа не удерживаются. Исполнитель предоставляет расчёт и подтверждающие документы.</w:t>
      </w:r>
    </w:p>
    <w:p w14:paraId="54403F1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 xml:space="preserve">Требование о возврате может быть предъявлено организации федеральной почтовой связи либо участвовавшему в приёме платы или оформлении заказа МФЦ: лично, почтовым отправлением либо посредством предусмотренного электронного сервиса по выбору заявителя. Электронный способ не </w:t>
      </w:r>
      <w:r w:rsidRPr="00EA7FD7">
        <w:rPr>
          <w:rFonts w:ascii="Times New Roman" w:hAnsi="Times New Roman" w:cs="Times New Roman"/>
        </w:rPr>
        <w:lastRenderedPageBreak/>
        <w:t>является обязательным. Получение требования подтверждается с указанием даты и регистрационного номера.</w:t>
      </w:r>
    </w:p>
    <w:p w14:paraId="3FC1CC8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Передача требования между участниками не изменяет дату его первоначального получения и не возлагает на заявителя обязанность повторного обращения. Денежные средства возвращает организация федеральной почтовой связи, если иной участник не исполняет её обязанность от её имени по соглашению. Внутреннее распределение средств и расчёты между участниками не являются основанием для задержки возврата.</w:t>
      </w:r>
    </w:p>
    <w:p w14:paraId="08D0D341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Возврат осуществляется не позднее трёх календарных дней со дня предъявления требования, если законодательством не предусмотрен более короткий срок. Возврат не облагается комиссией для заявителя; доступный способ возврата согласовывается с ним, а при невозможности вернуть средства первоначальным способом предлагается иной законный способ.</w:t>
      </w:r>
    </w:p>
    <w:p w14:paraId="4E45278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При отсутствии основания возврата в тот же срок заявителю предоставляется мотивированный ответ с расчётом и подтверждающими документами. Отказ со ссылкой только на распределение средств между участниками, отсутствие финансирования, несогласованность подразделений или отсутствие регистрации на электронном портале не допускается. Неоспариваемая часть возвращается в установленный срок независимо от спора об остальной сумме.</w:t>
      </w:r>
    </w:p>
    <w:p w14:paraId="4E0A216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Возврат почтовой платы не заменяет восстановления утраченных документов, возмещения убытков и иных мер защиты, предусмотренных законом. Заявителю сообщаются доступные способы обжалования: обращение к исполнителю, в уполномоченные органы и в суд, а также порядок по главе 2¹ Федерального закона — в той части, в которой он применим к соответствующему действию и участнику.</w:t>
      </w:r>
    </w:p>
    <w:p w14:paraId="75AFA76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Решение уполномоченного органа об отказе в предоставлении государственной услуги само по себе не означает неоказания надлежащим образом выполненной почтовой услуги и не является самостоятельным основанием возврата почтовой платы».</w:t>
      </w:r>
    </w:p>
    <w:p w14:paraId="6EB635D1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5F3B88A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Специальная понятная процедура снижает риск перенаправления заявителя между почтой и МФЦ и не подменяет договорные, потребительские и судебные способы защиты.</w:t>
      </w:r>
    </w:p>
    <w:p w14:paraId="09F5BCD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Единый трёхдневный срок не ухудшает предусмотренную статьёй 16 Закона Российской Федерации “О защите прав потребителей” защиту от навязанных дополнительных услуг при применимости этого закона.</w:t>
      </w:r>
    </w:p>
    <w:p w14:paraId="335A65F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Разграничиваются полный возврат, возврат переплаты и правомерный отказ после начала исполнения. Это устраняет противоречие между безусловным возвратом любых средств и правилами о фактических расходах исполнителя.</w:t>
      </w:r>
    </w:p>
    <w:p w14:paraId="2E0670C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Возврат должен производиться независимо от внутренних расчётов участников. Утрата документов и иные нарушения могут требовать защиты сверх возврата тарифа.</w:t>
      </w:r>
    </w:p>
    <w:p w14:paraId="48203C2F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8. Правила — дополнить пунктом 7 о бесплатном обслуживании социально уязвимых заявителей и его финансировании</w:t>
      </w:r>
    </w:p>
    <w:p w14:paraId="17B1A707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156163C1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Правила пунктом 7 следующего содержания:</w:t>
      </w:r>
    </w:p>
    <w:p w14:paraId="543C9D0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«7. Нулевой размер платы применяется при оказании почтовых услуг в интересах:</w:t>
      </w:r>
    </w:p>
    <w:p w14:paraId="3461256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инвалидов I и II групп, детей-инвалидов и инвалидов с детства;</w:t>
      </w:r>
    </w:p>
    <w:p w14:paraId="0DE4D70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б) ветеранов боевых действий, лиц, награждённых знаком “Жителю блокадного Ленинграда”,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14:paraId="1F1A15F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в) граждан, достигших возраста восьмидесяти лет;</w:t>
      </w:r>
    </w:p>
    <w:p w14:paraId="46CA5AB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г) граждан, признанных малоимущими в установленном порядке для целей предоставления государственной социальной помощи, в течение срока действия соответствующего решения;</w:t>
      </w:r>
    </w:p>
    <w:p w14:paraId="5C06BCC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д) лиц, признанных недееспособными или ограниченно дееспособными;</w:t>
      </w:r>
    </w:p>
    <w:p w14:paraId="0983FA4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е) иных категорий, дополнительно определяемых Правительством Российской Федерации.</w:t>
      </w:r>
    </w:p>
    <w:p w14:paraId="2725382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Бесплатное обслуживание предоставляется также при обращении уполномоченного или законного представителя в интересах перечисленных лиц. Лицо, осуществляющее уход, пользуется данной гарантией при наличии полномочий представителя и обращении в интересах подопечного; факт ухода сам по себе не распространяет льготу на все личные обращения такого лица.</w:t>
      </w:r>
    </w:p>
    <w:p w14:paraId="59E9140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Нулевой размер платы применяется также к заявителю, который вследствие состояния здоровья, ограничения мобильности или временной нетрудоспособности фактически не может воспользоваться обычным очным обращением без помощи, не обеспеченной в доступной форме. Решение принимается по функциональной невозможности обращения, а не только по наличию определённой группы инвалидности.</w:t>
      </w:r>
    </w:p>
    <w:p w14:paraId="5DB1354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Сведения о льготном статусе проверяются по доступным государственным информационным системам с соблюдением законодательства о персональных данных. При невозможности такой проверки заявителю предоставляется возможность представить имеющийся подтверждающий документ на бумаге; цифровая регистрация не требуется. Если документ находится в распоряжении органа, с которым может быть организован законный обмен сведениями, его получение обеспечивается без возложения на заявителя обязанности повторно получать этот документ.</w:t>
      </w:r>
    </w:p>
    <w:p w14:paraId="72564A4C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Для применения гарантии по обстоятельствам ограниченной мобильности допускаются сообщение заявителя и имеющиеся документы. Обязательное сообщение диагноза, приобретение платной справки или представление документа, не предусмотренного утверждённым порядком проверки, не допускаются. При необходимости дополнительной проверки заказ оформляется по нулевому тарифу; неблагоприятное решение должно содержать проверяемые основания и порядок обжалования. Взыскание платы за уже оказанную бесплатно услугу только вследствие поздней проверки не допускается, за исключением случаев, в которых взыскание имеет самостоятельное установленное законом основание.</w:t>
      </w:r>
    </w:p>
    <w:p w14:paraId="736D2D7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Правительство Российской Федерации одновременно с введением нулевых тарифов определяет источники финансового обеспечения бесплатного обслуживания по пунктам 4, 7 и 8 настоящих Правил, порядок компенсации экономически обоснованных затрат участников и уполномоченный орган, осуществляющий соответствующие расчёты. Порядок должен обеспечивать возмещение без повторного включения одних и тех же затрат в компенсацию и платные тарифы.</w:t>
      </w:r>
    </w:p>
    <w:p w14:paraId="3E75D86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Задержка компенсации и внутренние расчёты не являются основанием для отказа в предусмотренном бесплатном обслуживании или взимания платы с заявителя. Если реализация финансовой модели требует изменения бюджетных ассигнований либо федерального законодательства, необходимые решения подготавливаются до начала платного оказания услуг».</w:t>
      </w:r>
    </w:p>
    <w:p w14:paraId="49FC3E89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6CF7FA6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Предлагается дополнительная социальная гарантия, уменьшающая риск отказа от обращения из-за стоимости сопутствующей почтовой услуги.</w:t>
      </w:r>
    </w:p>
    <w:p w14:paraId="004E9CE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Нужны ясные основания льготы, порядок проверки без обязательного использования портала и разграничение обращений представителя в интересах подопечного и его личных обращений.</w:t>
      </w:r>
    </w:p>
    <w:p w14:paraId="62E564F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Функциональная невозможность посещения может возникать не только у лиц с определённой группой инвалидности. При этом проверка не должна создавать новую платную или цифровую преграду.</w:t>
      </w:r>
    </w:p>
    <w:p w14:paraId="1560246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Нулевой тариф необходимо сопровождать источником компенсации и запретом перекладывать последствия задержки финансирования на заявителя. Общие положения о равенстве и доступности сами по себе не заменяют такого механизма.</w:t>
      </w:r>
    </w:p>
    <w:p w14:paraId="2461CAF4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9. Правила — дополнить пунктом 8 об измеримых критериях доступности бесплатного очного обращения</w:t>
      </w:r>
    </w:p>
    <w:p w14:paraId="56B3C150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490C0FA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Правила пунктом 8 следующего содержания:</w:t>
      </w:r>
    </w:p>
    <w:p w14:paraId="6EC046B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«8. Нулевой размер платы применяется независимо от категории заявителя, если бесплатное очное обращение за соответствующей государственной или муниципальной услугой фактически недоступно, в том числе по одному из следующих оснований:</w:t>
      </w:r>
    </w:p>
    <w:p w14:paraId="6166A3C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а) в населённом пункте фактического проживания заявителя отсутствует подразделение уполномоченного органа, МФЦ, его филиал, территориальное подразделение, удалённое рабочее место либо регулярное выездное обслуживание, фактически обеспечивающие приём заявления и получение результата именно соответствующей услуги;</w:t>
      </w:r>
    </w:p>
    <w:p w14:paraId="39A6623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б) время следования до ближайшего места такого обслуживания превышает два часа в одном направлении с учётом ожидания и пересадок либо отсутствует регулярное пассажирское сообщение, позволяющее посетить место обслуживания в часы его работы и возвратиться в тот же день. Наличие личного автомобиля, возможность платного такси или разовой неформальной перевозки не считаются достаточным подтверждением доступности;</w:t>
      </w:r>
    </w:p>
    <w:p w14:paraId="3F1285B0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в) место обслуживания формально существует, но не выполняет нужные действия по соответствующей услуге, не обеспечивает запись в предусмотренные законодательством сроки либо недоступно с учётом ограничений мобильности заявителя и отсутствия реально обеспеченного доступного обслуживания.</w:t>
      </w:r>
    </w:p>
    <w:p w14:paraId="449F832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Проверяется возможность как подачи заявления, так и получения результата. Если недоступен только один из этих этапов, нулевой размер платы применяется к почтовой услуге, заменяющей соответствующий этап.</w:t>
      </w:r>
    </w:p>
    <w:p w14:paraId="36769328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 xml:space="preserve">Электронный портал не учитывается как замена бесплатной очной альтернативе для целей настоящего пункта. Наличие Интернета, цифровой регистрации, электронной подписи или устройства не отменяет </w:t>
      </w:r>
      <w:r w:rsidRPr="00EA7FD7">
        <w:rPr>
          <w:rFonts w:ascii="Times New Roman" w:hAnsi="Times New Roman" w:cs="Times New Roman"/>
        </w:rPr>
        <w:lastRenderedPageBreak/>
        <w:t>основание бесплатного обслуживания; их отсутствие не является самостоятельным основанием льготы, если соответствующее очное обращение фактически доступно. Специальные требования закона к услугам, для которых очный способ обращения не предусмотрен, сохраняются.</w:t>
      </w:r>
    </w:p>
    <w:p w14:paraId="7DF83D4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Основания проверяются по общедоступным сведениям о полномочиях и режиме работы подразделений, расписаниям транспорта, сведениям государственных информационных систем и сообщению заявителя. От заявителя не требуется получать справку об отсутствии МФЦ, Интернета, транспорта или технических устройств.</w:t>
      </w:r>
    </w:p>
    <w:p w14:paraId="375374C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При отсутствии достоверных сведений, опровергающих сообщённую недоступность очного обращения, применяется нулевой размер платы. Отказ в его применении оформляется с указанием конкретного места бесплатного обслуживания, доступных действий, порядка записи и транспортных условий, подтверждающих возможность обращения. По требованию заявителя копия решения выдаётся на бумаге; сообщается порядок проверки решения уполномоченным органом и обжалования.</w:t>
      </w:r>
    </w:p>
    <w:p w14:paraId="17B4DCAE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Министерство цифрового развития, связи и массовых коммуникаций Российской Федерации совместно с Министерством экономического развития Российской Федерации на основании сведений субъектов Российской Федерации обеспечивает ведение открытого справочника территориальной доступности соответствующих услуг. Сведения актуализируются не реже одного раза в квартал и при получении подтверждённой информации об изменении условий. Доступ к сведениям обеспечивается через официальный сайт и по обращению в местах обслуживания, в том числе на бумаге.</w:t>
      </w:r>
    </w:p>
    <w:p w14:paraId="1082AA8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Справочник носит информационный характер. Отсутствие населённого пункта в нём либо устаревшая запись не отменяют бесплатное обслуживание при фактическом наличии основания».</w:t>
      </w:r>
    </w:p>
    <w:p w14:paraId="7FD489B4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17B3B2F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Наличие организации на карте не подтверждает возможность обратиться за конкретной услугой. Необходимы сведения о полномочиях, приёме, получении результата и реальной транспортной доступности.</w:t>
      </w:r>
    </w:p>
    <w:p w14:paraId="63E612EF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Критерий двух часов является предлагаемым стандартом защиты и требует оценки разработчиком; он не объявляется уже установленным федеральным законом нормативом.</w:t>
      </w:r>
    </w:p>
    <w:p w14:paraId="0C714D2B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3. Исключение электронного портала из очной альтернативы одновременно с отказом от самостоятельной льготы «нет Интернета» устраняет противоречие критериев и сохраняет единый предмет проверки.</w:t>
      </w:r>
    </w:p>
    <w:p w14:paraId="71AA2523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Проверяемое мотивированное решение, отсутствие обязательных справок и информационный характер справочника уменьшают риск произвольного отказа со стороны заинтересованного в плате исполнителя.</w:t>
      </w:r>
    </w:p>
    <w:p w14:paraId="275FAA99" w14:textId="77777777" w:rsidR="00EA7FD7" w:rsidRPr="00EA7FD7" w:rsidRDefault="00EA7FD7" w:rsidP="00EA7FD7">
      <w:pPr>
        <w:pStyle w:val="1"/>
        <w:spacing w:before="240"/>
        <w:rPr>
          <w:rFonts w:ascii="Times New Roman" w:hAnsi="Times New Roman" w:cs="Times New Roman"/>
          <w:sz w:val="24"/>
          <w:szCs w:val="24"/>
        </w:rPr>
      </w:pPr>
      <w:r w:rsidRPr="00EA7FD7">
        <w:rPr>
          <w:rFonts w:ascii="Times New Roman" w:hAnsi="Times New Roman" w:cs="Times New Roman"/>
          <w:b/>
          <w:sz w:val="24"/>
          <w:szCs w:val="24"/>
        </w:rPr>
        <w:t>ПОПРАВКА № 10. Правила — дополнить пунктом 9 о бесплатности обычного обращения в МФЦ и разграничении роли участников</w:t>
      </w:r>
    </w:p>
    <w:p w14:paraId="1C20853A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Предлагаемая редакция:</w:t>
      </w:r>
    </w:p>
    <w:p w14:paraId="26A3CD26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Дополнить Правила пунктом 9 следующего содержания:</w:t>
      </w:r>
    </w:p>
    <w:p w14:paraId="750204C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 xml:space="preserve">«9. За выполнение многофункциональным центром предусмотренных законодательством функций по приёму заявления и выдаче результата государственной или муниципальной услуги при обычном </w:t>
      </w:r>
      <w:r w:rsidRPr="00EA7FD7">
        <w:rPr>
          <w:rFonts w:ascii="Times New Roman" w:hAnsi="Times New Roman" w:cs="Times New Roman"/>
        </w:rPr>
        <w:lastRenderedPageBreak/>
        <w:t>обращении заявителя, в том числе при личном посещении, дополнительная плата по настоящим Правилам не взимается.</w:t>
      </w:r>
    </w:p>
    <w:p w14:paraId="697EBF5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Настоящая гарантия распространяется на любого заявителя при выполнении МФЦ соответствующих функций в пределах его полномочий и не зависит от возраста, дохода, социального статуса, места жительства, цифровой регистрации или наличия технических устройств. Государственная пошлина и иные платежи, имеющие самостоятельное основание в соответствии с частями 2 и 3 статьи 8 Федерального закона, сохраняются; они не являются платой МФЦ за приём заявления или выдачу результата.</w:t>
      </w:r>
    </w:p>
    <w:p w14:paraId="3E7FD735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Участие многофункционального центра в оказании услуг организации федеральной почтовой связи не изменяет бесплатность выполнения обычных функций МФЦ. Не допускается считать почтовой услугой само по себе обычное обращение в МФЦ, передачу документов между МФЦ и уполномоченным органом в рамках стандартного взаимодействия или выдачу результата, поступившего в МФЦ в рамках такого взаимодействия.</w:t>
      </w:r>
    </w:p>
    <w:p w14:paraId="496FDB3A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Заявитель, обратившийся за обычным обслуживанием, не может быть переведён в режим платного почтового заказа без отдельного выбора в порядке пункта 4 настоящих Правил. Работник обязан предварительно объяснить различия между обычным обслуживанием и дополнительной почтовой услугой.</w:t>
      </w:r>
    </w:p>
    <w:p w14:paraId="633A2B24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Если заявитель отдельно выбрал почтовую услугу, участие МФЦ осуществляется только по соглашению, предусмотренному частью 4 статьи 10¹ Федерального закона. В документах заказа указываются организация федеральной почтовой связи как исполнитель и конкретная роль МФЦ. Приём МФЦ денежных средств допускается только от имени исполнителя и при наличии соответствующего правового основания; это не создаёт самостоятельной платы МФЦ.</w:t>
      </w:r>
    </w:p>
    <w:p w14:paraId="4995F39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Плата за одну и ту же операцию не может взиматься одновременно почтовой организацией и МФЦ. Распределение полученной платы между ними не влечёт дополнительных обязательств заявителя. В документе, подтверждающем заказ и оплату, указываются выбранная почтовая услуга, её полная цена, исполнитель и основание приёма средств участвующим лицом.</w:t>
      </w:r>
    </w:p>
    <w:p w14:paraId="18AE0CAC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Отказ от почтового заказа не препятствует приёму заявления и выдаче результата МФЦ в тех случаях, когда эти действия входят в его полномочия по соответствующей государственной или муниципальной услуге.</w:t>
      </w:r>
    </w:p>
    <w:p w14:paraId="6828D3C9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В местах обслуживания размещается уведомление: “За обычный приём заявления и выдачу результата в МФЦ дополнительная почтовая плата не взимается. Почтовые услуги оформляются отдельно и только по вашему выбору. Государственные пошлины и иные установленные законом платежи за саму государственную услугу указываются отдельно”. Уведомление сопровождается сведениями о бесплатных способах обращения, тарифах на отдельные почтовые услуги и порядке подачи жалобы».</w:t>
      </w:r>
    </w:p>
    <w:p w14:paraId="0151B3CB" w14:textId="77777777" w:rsidR="00EA7FD7" w:rsidRPr="00EA7FD7" w:rsidRDefault="00EA7FD7" w:rsidP="00EA7FD7">
      <w:pPr>
        <w:keepNext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  <w:b/>
        </w:rPr>
        <w:t>Обоснование:</w:t>
      </w:r>
    </w:p>
    <w:p w14:paraId="366B2A32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1. Эта норма непосредственно устраняет риск прочтения проекта как общей платы за посещение МФЦ и получение государственных услуг вне электронного портала.</w:t>
      </w:r>
    </w:p>
    <w:p w14:paraId="483E8387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2. Разграничение проводится по правовому основанию и виду операции, а не только по физическому месту нахождения заявителя. Оно сохраняет предусмотренные законом почтовые услуги, в том числе доставку в выбранное отделение почтовой связи.</w:t>
      </w:r>
    </w:p>
    <w:p w14:paraId="21489C4D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lastRenderedPageBreak/>
        <w:t>3. Учтена часть 4 статьи 10¹: МФЦ участвует по соглашению и в пределах своих функций. Отдельный почтовой заказ не должен подменять стандартное взаимодействие МФЦ с уполномоченным органом.</w:t>
      </w:r>
    </w:p>
    <w:p w14:paraId="79A0E9AC" w14:textId="77777777" w:rsidR="00EA7FD7" w:rsidRPr="00EA7FD7" w:rsidRDefault="00EA7FD7" w:rsidP="00EA7FD7">
      <w:pPr>
        <w:jc w:val="both"/>
        <w:rPr>
          <w:rFonts w:ascii="Times New Roman" w:hAnsi="Times New Roman" w:cs="Times New Roman"/>
        </w:rPr>
      </w:pPr>
      <w:r w:rsidRPr="00EA7FD7">
        <w:rPr>
          <w:rFonts w:ascii="Times New Roman" w:hAnsi="Times New Roman" w:cs="Times New Roman"/>
        </w:rPr>
        <w:t>4. Универсальная гарантия обычного обслуживания существует независимо от льготных категорий. Льготы относятся к дополнительным почтовым услугам, а не определяют, кому разрешено бесплатно обращаться в МФЦ.</w:t>
      </w:r>
    </w:p>
    <w:p w14:paraId="58CDBFFA" w14:textId="77777777" w:rsidR="00EA7FD7" w:rsidRPr="00EA7FD7" w:rsidRDefault="00EA7FD7" w:rsidP="00641772">
      <w:pPr>
        <w:jc w:val="both"/>
        <w:rPr>
          <w:rFonts w:ascii="Times New Roman" w:hAnsi="Times New Roman" w:cs="Times New Roman"/>
          <w:b/>
          <w:bCs/>
        </w:rPr>
      </w:pPr>
    </w:p>
    <w:p w14:paraId="15036A42" w14:textId="77777777" w:rsidR="00EA7FD7" w:rsidRPr="00EA7FD7" w:rsidRDefault="00EA7FD7" w:rsidP="00641772">
      <w:pPr>
        <w:jc w:val="both"/>
        <w:rPr>
          <w:rFonts w:ascii="Times New Roman" w:hAnsi="Times New Roman" w:cs="Times New Roman"/>
          <w:b/>
          <w:bCs/>
        </w:rPr>
      </w:pPr>
    </w:p>
    <w:p w14:paraId="6A7628BD" w14:textId="77777777" w:rsidR="00EA7FD7" w:rsidRPr="00EA7FD7" w:rsidRDefault="00EA7FD7" w:rsidP="00641772">
      <w:pPr>
        <w:jc w:val="both"/>
        <w:rPr>
          <w:rFonts w:ascii="Times New Roman" w:hAnsi="Times New Roman" w:cs="Times New Roman"/>
          <w:b/>
          <w:bCs/>
        </w:rPr>
      </w:pPr>
    </w:p>
    <w:p w14:paraId="52D0DF26" w14:textId="77777777" w:rsidR="00641772" w:rsidRPr="00EA7FD7" w:rsidRDefault="00641772" w:rsidP="00641772">
      <w:pPr>
        <w:jc w:val="both"/>
        <w:rPr>
          <w:rFonts w:ascii="Times New Roman" w:hAnsi="Times New Roman" w:cs="Times New Roman"/>
        </w:rPr>
      </w:pPr>
    </w:p>
    <w:sectPr w:rsidR="00641772" w:rsidRPr="00EA7FD7" w:rsidSect="00455CFA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661B"/>
    <w:multiLevelType w:val="multilevel"/>
    <w:tmpl w:val="C648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535A8"/>
    <w:multiLevelType w:val="multilevel"/>
    <w:tmpl w:val="36AEF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AF4F55"/>
    <w:multiLevelType w:val="multilevel"/>
    <w:tmpl w:val="91A4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D163A"/>
    <w:multiLevelType w:val="multilevel"/>
    <w:tmpl w:val="E53A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547B7D"/>
    <w:multiLevelType w:val="multilevel"/>
    <w:tmpl w:val="6784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E27C6"/>
    <w:multiLevelType w:val="multilevel"/>
    <w:tmpl w:val="018E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817EEE"/>
    <w:multiLevelType w:val="multilevel"/>
    <w:tmpl w:val="76423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C40E04"/>
    <w:multiLevelType w:val="multilevel"/>
    <w:tmpl w:val="CDA6E9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87256D"/>
    <w:multiLevelType w:val="multilevel"/>
    <w:tmpl w:val="2530E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E2306F"/>
    <w:multiLevelType w:val="multilevel"/>
    <w:tmpl w:val="9CA8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A52EB"/>
    <w:multiLevelType w:val="multilevel"/>
    <w:tmpl w:val="B14AD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7F465F"/>
    <w:multiLevelType w:val="multilevel"/>
    <w:tmpl w:val="EAFEB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1558BD"/>
    <w:multiLevelType w:val="multilevel"/>
    <w:tmpl w:val="037C1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E00D4B"/>
    <w:multiLevelType w:val="multilevel"/>
    <w:tmpl w:val="745EC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9026F1"/>
    <w:multiLevelType w:val="multilevel"/>
    <w:tmpl w:val="616E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482F7F"/>
    <w:multiLevelType w:val="multilevel"/>
    <w:tmpl w:val="A698B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4378ED"/>
    <w:multiLevelType w:val="multilevel"/>
    <w:tmpl w:val="DD26B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870AEE"/>
    <w:multiLevelType w:val="multilevel"/>
    <w:tmpl w:val="0B563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D5B78"/>
    <w:multiLevelType w:val="multilevel"/>
    <w:tmpl w:val="CCE85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BE2C79"/>
    <w:multiLevelType w:val="multilevel"/>
    <w:tmpl w:val="8F509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56C"/>
    <w:multiLevelType w:val="multilevel"/>
    <w:tmpl w:val="C7103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FA33B7"/>
    <w:multiLevelType w:val="multilevel"/>
    <w:tmpl w:val="76CE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A5628A"/>
    <w:multiLevelType w:val="multilevel"/>
    <w:tmpl w:val="09FEC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6B0A86"/>
    <w:multiLevelType w:val="multilevel"/>
    <w:tmpl w:val="C974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655593"/>
    <w:multiLevelType w:val="multilevel"/>
    <w:tmpl w:val="42C60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0F003A"/>
    <w:multiLevelType w:val="multilevel"/>
    <w:tmpl w:val="C5C0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A1296D"/>
    <w:multiLevelType w:val="multilevel"/>
    <w:tmpl w:val="FC2A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968518">
    <w:abstractNumId w:val="6"/>
  </w:num>
  <w:num w:numId="2" w16cid:durableId="1794251404">
    <w:abstractNumId w:val="20"/>
  </w:num>
  <w:num w:numId="3" w16cid:durableId="1441534699">
    <w:abstractNumId w:val="9"/>
  </w:num>
  <w:num w:numId="4" w16cid:durableId="116219244">
    <w:abstractNumId w:val="23"/>
  </w:num>
  <w:num w:numId="5" w16cid:durableId="1161771342">
    <w:abstractNumId w:val="18"/>
  </w:num>
  <w:num w:numId="6" w16cid:durableId="772170085">
    <w:abstractNumId w:val="7"/>
  </w:num>
  <w:num w:numId="7" w16cid:durableId="1492676922">
    <w:abstractNumId w:val="8"/>
  </w:num>
  <w:num w:numId="8" w16cid:durableId="621032292">
    <w:abstractNumId w:val="5"/>
  </w:num>
  <w:num w:numId="9" w16cid:durableId="1624842325">
    <w:abstractNumId w:val="19"/>
  </w:num>
  <w:num w:numId="10" w16cid:durableId="1501963259">
    <w:abstractNumId w:val="2"/>
  </w:num>
  <w:num w:numId="11" w16cid:durableId="713308749">
    <w:abstractNumId w:val="0"/>
  </w:num>
  <w:num w:numId="12" w16cid:durableId="1372463411">
    <w:abstractNumId w:val="21"/>
  </w:num>
  <w:num w:numId="13" w16cid:durableId="169874614">
    <w:abstractNumId w:val="17"/>
  </w:num>
  <w:num w:numId="14" w16cid:durableId="1382483391">
    <w:abstractNumId w:val="26"/>
  </w:num>
  <w:num w:numId="15" w16cid:durableId="357123218">
    <w:abstractNumId w:val="3"/>
  </w:num>
  <w:num w:numId="16" w16cid:durableId="926961485">
    <w:abstractNumId w:val="16"/>
  </w:num>
  <w:num w:numId="17" w16cid:durableId="1952545350">
    <w:abstractNumId w:val="1"/>
  </w:num>
  <w:num w:numId="18" w16cid:durableId="1394811763">
    <w:abstractNumId w:val="11"/>
  </w:num>
  <w:num w:numId="19" w16cid:durableId="1619792634">
    <w:abstractNumId w:val="13"/>
  </w:num>
  <w:num w:numId="20" w16cid:durableId="174416775">
    <w:abstractNumId w:val="15"/>
  </w:num>
  <w:num w:numId="21" w16cid:durableId="1681010511">
    <w:abstractNumId w:val="25"/>
  </w:num>
  <w:num w:numId="22" w16cid:durableId="887574347">
    <w:abstractNumId w:val="12"/>
  </w:num>
  <w:num w:numId="23" w16cid:durableId="531116153">
    <w:abstractNumId w:val="14"/>
  </w:num>
  <w:num w:numId="24" w16cid:durableId="1591238341">
    <w:abstractNumId w:val="22"/>
  </w:num>
  <w:num w:numId="25" w16cid:durableId="222522456">
    <w:abstractNumId w:val="24"/>
  </w:num>
  <w:num w:numId="26" w16cid:durableId="788815738">
    <w:abstractNumId w:val="10"/>
  </w:num>
  <w:num w:numId="27" w16cid:durableId="1267613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FA"/>
    <w:rsid w:val="000C474E"/>
    <w:rsid w:val="001B0810"/>
    <w:rsid w:val="002330DD"/>
    <w:rsid w:val="00455CFA"/>
    <w:rsid w:val="00641772"/>
    <w:rsid w:val="006D7CED"/>
    <w:rsid w:val="006F0F62"/>
    <w:rsid w:val="007B3BCE"/>
    <w:rsid w:val="007E68C8"/>
    <w:rsid w:val="00BA381D"/>
    <w:rsid w:val="00EA7FD7"/>
    <w:rsid w:val="00FA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90A5"/>
  <w15:chartTrackingRefBased/>
  <w15:docId w15:val="{5D0B8CBC-C3EE-4CD3-86AF-D0757058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5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C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C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C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C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C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C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5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5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5C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C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5C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5C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5C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15</Pages>
  <Words>6041</Words>
  <Characters>34437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Мукимов</dc:creator>
  <cp:keywords/>
  <dc:description/>
  <cp:lastModifiedBy>Денис Мукимов</cp:lastModifiedBy>
  <cp:revision>3</cp:revision>
  <dcterms:created xsi:type="dcterms:W3CDTF">2026-10-07T13:19:00Z</dcterms:created>
  <dcterms:modified xsi:type="dcterms:W3CDTF">2026-10-08T10:29:00Z</dcterms:modified>
</cp:coreProperties>
</file>