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Рекомендации </w:t>
        <w:br/>
        <w:t xml:space="preserve">Общественной палаты Российской Федерации по итогам круглого стола </w:t>
        <w:br/>
        <w:t>на тему «Активное социальное долголетие и репродуктивное здоровье – фундамент демографической устойчивости России»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W w:w="1006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386"/>
        <w:gridCol w:w="4678"/>
      </w:tblGrid>
      <w:tr>
        <w:trPr/>
        <w:tc>
          <w:tcPr>
            <w:tcW w:w="5386" w:type="dxa"/>
            <w:tcBorders/>
          </w:tcPr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 октября 2024 года</w:t>
            </w:r>
          </w:p>
        </w:tc>
        <w:tc>
          <w:tcPr>
            <w:tcW w:w="4678" w:type="dxa"/>
            <w:tcBorders/>
          </w:tcPr>
          <w:p>
            <w:pPr>
              <w:pStyle w:val="Normal"/>
              <w:spacing w:lineRule="auto" w:line="240" w:before="0" w:after="16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г. Москва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Общественной палате Российской Федерации (далее – Общественная палата) по инициативе Комиссии Общественной палаты по здравоохранению состоялся круглый стол на тему «Активное социальное долголетие и репродуктивное здоровье – фундамент демографической устойчивости России» (далее – круглый стол, мероприятие, обсуждение).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круглом столе приняли участие члены Общественной палаты, представители федеральных органов законодательной и исполнительной власти, органов законодательной и исполнительной власти субъектов Российской Федерации, образовательных организаций высшего образования, медицинских организаций, научного, экспертного и пациентского сообществ.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рамках мероприятия </w:t>
      </w:r>
      <w:r>
        <w:rPr>
          <w:rFonts w:eastAsia="Times New Roman" w:cs="Times New Roman" w:ascii="Times New Roman" w:hAnsi="Times New Roman"/>
          <w:sz w:val="28"/>
          <w:szCs w:val="28"/>
          <w:shd w:fill="FFFF00" w:val="clear"/>
        </w:rPr>
        <w:t>участники обсудили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вопросы, связанные с актуальными проблемами в сфере охраны репродуктивного здоровья, включая распространенность инфекций, передаваемых половым путем, высокий уровень подростковой беременности, </w:t>
      </w:r>
      <w:r>
        <w:rPr>
          <w:rFonts w:eastAsia="Times New Roman" w:cs="Times New Roman" w:ascii="Times New Roman" w:hAnsi="Times New Roman"/>
          <w:sz w:val="28"/>
          <w:szCs w:val="28"/>
          <w:shd w:fill="FFFF00" w:val="clear"/>
        </w:rPr>
        <w:t>гендерные дисбалансы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медицинском сопровождении репродуктивного здоровья, а также недостаточную осведомленность граждан о современных методах профилактики и лечения.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условиях текущей демографической ситуации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2"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обеспечение охраны и укрепления здоровья граждан приобретает особую социальную значимость. Одним из основных направлений, способствующих сохранению генофонда нации и обеспечению воспроизводства населения, является совершенствование мер по улучшению состояния репродуктивного здоровья и восстановлению репродуктивного потенциала.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Согласно определению Всемирной организации здравоохранения, репродуктивное здоровье представляет собой состояние полного физического, психического и социального благополучия, а не только отсутствие заболеваний или функциональных нарушений во всех аспектах, связанных с репродуктивной системой, ее функциями и процессами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  <w:vertAlign w:val="superscript"/>
        </w:rPr>
        <w:footnoteReference w:id="3"/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 данным Росстата, на 1 января 2024 года женское население России составило 78 млн (из которых около 35 млн – женщины в репродуктивном возрасте (от 15 до 49 лет), их доля в общей численности составляет примерно </w:t>
        <w:br/>
        <w:t>25</w:t>
      </w:r>
      <w:r>
        <w:rPr>
          <w:rFonts w:eastAsia="Times New Roman" w:cs="Times New Roman" w:ascii="Times New Roman" w:hAnsi="Times New Roman"/>
          <w:sz w:val="14"/>
          <w:szCs w:val="14"/>
        </w:rPr>
        <w:t> </w:t>
      </w:r>
      <w:r>
        <w:rPr>
          <w:rFonts w:eastAsia="Times New Roman" w:cs="Times New Roman" w:ascii="Times New Roman" w:hAnsi="Times New Roman"/>
          <w:sz w:val="28"/>
          <w:szCs w:val="28"/>
        </w:rPr>
        <w:t>%).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среднем на одну женщину репродуктивного возраста суммарный коэффициент рождаемости в 2024 году в России составил 1,41 рождений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4"/>
      </w:r>
      <w:r>
        <w:rPr>
          <w:rFonts w:eastAsia="Times New Roman" w:cs="Times New Roman" w:ascii="Times New Roman" w:hAnsi="Times New Roman"/>
          <w:sz w:val="28"/>
          <w:szCs w:val="28"/>
        </w:rPr>
        <w:t>, что значительно ниже уровня, необходимого для простого воспроизводства населения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5"/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Одной из ключевых проблем репродуктивного здоровья является бесплодие, которое продолжает оставаться одной из ведущих причин демографического кризиса. Согласно исследованию государственного бюджетного учреждения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Москвы», распространенность женского бесплодия в России с 2011 года по 2021 год увеличилась на треть, мужского – почти в два раза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6"/>
      </w:r>
      <w:r>
        <w:rPr>
          <w:rFonts w:eastAsia="Times New Roman" w:cs="Times New Roman" w:ascii="Times New Roman" w:hAnsi="Times New Roman"/>
          <w:sz w:val="28"/>
          <w:szCs w:val="28"/>
        </w:rPr>
        <w:t>. В целом на 100 тыс. человек бесплодие встречается у 789 женщин и у 67 мужчин.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целях решения вышеуказанной проблемы в последние годы предпринимаются комплексные меры, направленные на сохранение и улучшение репродуктивного здоровья населения. В частности, в 2021 году заместитель Председателя Правительства Российской Федерации Татьяна Голикова утвердила паспорт пилотного проекта «Репродуктивное здоровье»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7"/>
      </w:r>
      <w:r>
        <w:rPr>
          <w:rFonts w:eastAsia="Times New Roman" w:cs="Times New Roman" w:ascii="Times New Roman" w:hAnsi="Times New Roman"/>
          <w:sz w:val="28"/>
          <w:szCs w:val="28"/>
        </w:rPr>
        <w:t>, который реализуется с участием федеральных органов исполнительной власти, научных, образовательных и благотворительных организаций. Проект ориентирован на повышение репродуктивного потенциала нации и обеспечение устойчивого прироста населения, что позволяет определить востребованность, эффективность и целесообразность применяемых мер поддержки как на федеральном, так и на региональном уровнях.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территории Камчатского края, например, акцент сделан на оценку репродуктивных установок граждан в возрасте 15-35 лет, а также на улучшение состояния их репродуктивного здоровья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8"/>
      </w:r>
      <w:r>
        <w:rPr>
          <w:rFonts w:eastAsia="Times New Roman" w:cs="Times New Roman" w:ascii="Times New Roman" w:hAnsi="Times New Roman"/>
          <w:sz w:val="28"/>
          <w:szCs w:val="28"/>
        </w:rPr>
        <w:t>. Особое внимание уделяется повышению медицинской грамотности населения, информированию о факторах риска, популяризации здорового образа жизни, улучшению эффективности доабортного консультирования, а также адресной социально-экономической поддержке семей, включая тех, кто находится в трудной жизненной ситуации или ухаживает за больными и пожилыми родственниками.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Кроме того, в целях дальнейшего развития государственной политики в области защиты семьи и сохранения традиционных семейных ценностей 2024 год в России объявлен Годом семьи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9"/>
      </w:r>
      <w:r>
        <w:rPr>
          <w:rFonts w:eastAsia="Times New Roman" w:cs="Times New Roman" w:ascii="Times New Roman" w:hAnsi="Times New Roman"/>
          <w:sz w:val="28"/>
          <w:szCs w:val="28"/>
        </w:rPr>
        <w:t>. В рамках его проведения Правительством Российской Федерации образован организационный комитет, разработавший план мероприятий, включающий в том числе проведение диспансеризации среди лиц репродуктивного возраста для оценки состояния их репродуктивного здоровья.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Рассмотренные меры, по мнению участников обсуждения, свидетельствуют о значимости на сегодняшний день репродуктивного потенциала нации, однако до сих пор остаются проблемы, требующие принятия дополнительных мер и совершенствования существующих подходов.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Участники круглого стола обратили внимание, что одной из важнейших проблем в области охраны репродуктивного здоровья остается широкая распространенность инфекций, передаваемых половым путем, в особенности среди молодежи.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Так, согласно информации Всемирной организации здравоохранения, ежедневно происходит более 1 млн случаев заражения излечимыми инфекциями, передаваемыми половым путем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10"/>
      </w:r>
      <w:r>
        <w:rPr>
          <w:rFonts w:eastAsia="Times New Roman" w:cs="Times New Roman" w:ascii="Times New Roman" w:hAnsi="Times New Roman"/>
          <w:sz w:val="28"/>
          <w:szCs w:val="28"/>
        </w:rPr>
        <w:t>. В 2020 году 374 млн человек заразились одной из четырех инфекций, таких как хламидиоз (129 млн), гонорея (82 млн), сифилис (7,1 млн) и трихомониаз (156 млн). В 2016 году численность инфицированных генитальным герпесом оценивалась на уровне более 490 млн человек, при этом 300 млн женщин инфицированы вирусом папилломы человека, являющимся причиной до 70</w:t>
      </w:r>
      <w:r>
        <w:rPr>
          <w:rFonts w:eastAsia="Times New Roman" w:cs="Times New Roman" w:ascii="Times New Roman" w:hAnsi="Times New Roman"/>
          <w:sz w:val="14"/>
          <w:szCs w:val="14"/>
        </w:rPr>
        <w:t> </w:t>
      </w:r>
      <w:r>
        <w:rPr>
          <w:rFonts w:eastAsia="Times New Roman" w:cs="Times New Roman" w:ascii="Times New Roman" w:hAnsi="Times New Roman"/>
          <w:sz w:val="28"/>
          <w:szCs w:val="28"/>
        </w:rPr>
        <w:t>% случаев рака шейки матки, 80</w:t>
      </w:r>
      <w:r>
        <w:rPr>
          <w:rFonts w:eastAsia="Times New Roman" w:cs="Times New Roman" w:ascii="Times New Roman" w:hAnsi="Times New Roman"/>
          <w:sz w:val="14"/>
          <w:szCs w:val="14"/>
        </w:rPr>
        <w:t> </w:t>
      </w:r>
      <w:r>
        <w:rPr>
          <w:rFonts w:eastAsia="Times New Roman" w:cs="Times New Roman" w:ascii="Times New Roman" w:hAnsi="Times New Roman"/>
          <w:sz w:val="28"/>
          <w:szCs w:val="28"/>
        </w:rPr>
        <w:t>% рака вульвы и влагалища, 92</w:t>
      </w:r>
      <w:r>
        <w:rPr>
          <w:rFonts w:eastAsia="Times New Roman" w:cs="Times New Roman" w:ascii="Times New Roman" w:hAnsi="Times New Roman"/>
          <w:sz w:val="14"/>
          <w:szCs w:val="14"/>
        </w:rPr>
        <w:t> </w:t>
      </w:r>
      <w:r>
        <w:rPr>
          <w:rFonts w:eastAsia="Times New Roman" w:cs="Times New Roman" w:ascii="Times New Roman" w:hAnsi="Times New Roman"/>
          <w:sz w:val="28"/>
          <w:szCs w:val="28"/>
        </w:rPr>
        <w:t>% анального рака и другое, а также до 63</w:t>
      </w:r>
      <w:r>
        <w:rPr>
          <w:rFonts w:eastAsia="Times New Roman" w:cs="Times New Roman" w:ascii="Times New Roman" w:hAnsi="Times New Roman"/>
          <w:sz w:val="14"/>
          <w:szCs w:val="14"/>
        </w:rPr>
        <w:t> </w:t>
      </w:r>
      <w:r>
        <w:rPr>
          <w:rFonts w:eastAsia="Times New Roman" w:cs="Times New Roman" w:ascii="Times New Roman" w:hAnsi="Times New Roman"/>
          <w:sz w:val="28"/>
          <w:szCs w:val="28"/>
        </w:rPr>
        <w:t>% случаев рака полового члена у мужчин. К тому же в 2022 году 254 млн человек страдали хроническим гепатитом 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Согласно данным федерального научно-методического центра по профилактике и борьбе со СПИДом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11"/>
      </w:r>
      <w:r>
        <w:rPr>
          <w:rFonts w:eastAsia="Times New Roman" w:cs="Times New Roman" w:ascii="Times New Roman" w:hAnsi="Times New Roman"/>
          <w:sz w:val="28"/>
          <w:szCs w:val="28"/>
        </w:rPr>
        <w:t>, на конец 2023 года на территории России проживало около 1,2 млн человек, инфицированных вирусом иммунодефицита человека (далее – ВИЧ). По темпам распространения вируса Россия занимает лидирующую позицию в Европе: на ее долю приходится50</w:t>
      </w:r>
      <w:r>
        <w:rPr>
          <w:rFonts w:eastAsia="Times New Roman" w:cs="Times New Roman" w:ascii="Times New Roman" w:hAnsi="Times New Roman"/>
          <w:sz w:val="14"/>
          <w:szCs w:val="14"/>
        </w:rPr>
        <w:t> </w:t>
      </w:r>
      <w:r>
        <w:rPr>
          <w:rFonts w:eastAsia="Times New Roman" w:cs="Times New Roman" w:ascii="Times New Roman" w:hAnsi="Times New Roman"/>
          <w:sz w:val="28"/>
          <w:szCs w:val="28"/>
        </w:rPr>
        <w:t>% всех новых зарегистрированных случаев заражения на континенте</w:t>
      </w:r>
      <w:r>
        <w:rPr>
          <w:rStyle w:val="Style11"/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12"/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Как отметил Министр здравоохранения Российской Федерации Михаил Мурашко, заболеваемость ВИЧ-инфекцией с 2016 года сократилась на 40</w:t>
      </w:r>
      <w:r>
        <w:rPr>
          <w:rFonts w:eastAsia="Times New Roman" w:cs="Times New Roman" w:ascii="Times New Roman" w:hAnsi="Times New Roman"/>
          <w:sz w:val="14"/>
          <w:szCs w:val="14"/>
        </w:rPr>
        <w:t> </w:t>
      </w:r>
      <w:r>
        <w:rPr>
          <w:rFonts w:eastAsia="Times New Roman" w:cs="Times New Roman" w:ascii="Times New Roman" w:hAnsi="Times New Roman"/>
          <w:sz w:val="28"/>
          <w:szCs w:val="28"/>
        </w:rPr>
        <w:t>%, достигнув минимальных показателей за всю историю наблюдений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13"/>
      </w:r>
      <w:r>
        <w:rPr>
          <w:rFonts w:eastAsia="Times New Roman" w:cs="Times New Roman" w:ascii="Times New Roman" w:hAnsi="Times New Roman"/>
          <w:sz w:val="28"/>
          <w:szCs w:val="28"/>
        </w:rPr>
        <w:t>. Тем не менее значительное количество новых случаев заражения инфекциями, передающимися половым путем, продолжает представлять собой одну из основных угроз для общественного здоровья, требующую усиления профилактических мероприятий и информационной работы.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Кроме того, участники обсуждения обеспокоены высоким уровнем подростковой беременности, которая влечет за собой не только медицинские, но и значительные социальные и экономические последствия.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Согласно данным экспертов, ежегодно в России около 11 тыс. несовершеннолетних девушек становятся матерями, а около 3 тыс. – решаются на искусственное прерывание беременности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14"/>
      </w:r>
      <w:r>
        <w:rPr>
          <w:rFonts w:eastAsia="Times New Roman" w:cs="Times New Roman" w:ascii="Times New Roman" w:hAnsi="Times New Roman"/>
          <w:sz w:val="28"/>
          <w:szCs w:val="28"/>
        </w:rPr>
        <w:t>. Несмотря на некоторое снижение показателей подростковой беременности за последние десятилетия, уровень рождаемости среди несовершеннолетних девушек младше 18 лет по-прежнему остается сравнительно высоким.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Так, по данным Росстата за 2021 год, беременность наступила у 14 тыс. подростков, из которых основную долю составляют подростки в возрасте 16-17 лет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15"/>
      </w:r>
      <w:r>
        <w:rPr>
          <w:rFonts w:eastAsia="Times New Roman" w:cs="Times New Roman" w:ascii="Times New Roman" w:hAnsi="Times New Roman"/>
          <w:sz w:val="28"/>
          <w:szCs w:val="28"/>
        </w:rPr>
        <w:t>. Вместе с тем ежегодно фиксируются сотни случаев беременности у подростков 14-15 лет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16"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единичные случаи – среди 11-13 лет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17"/>
      </w:r>
      <w:r>
        <w:rPr>
          <w:rFonts w:eastAsia="Times New Roman" w:cs="Times New Roman" w:ascii="Times New Roman" w:hAnsi="Times New Roman"/>
          <w:sz w:val="28"/>
          <w:szCs w:val="28"/>
        </w:rPr>
        <w:t>. В некоторых субъектах Российской Федерации, таких как Республика Тыва, Забайкальский край и Еврейская автономная область, показатели подростковой рождаемости особенно высоки.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Эксперты подчеркивают, что ранняя беременность сопряжена с высоким риском для здоровья молодых матерей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18"/>
      </w:r>
      <w:r>
        <w:rPr>
          <w:rFonts w:eastAsia="Times New Roman" w:cs="Times New Roman" w:ascii="Times New Roman" w:hAnsi="Times New Roman"/>
          <w:sz w:val="28"/>
          <w:szCs w:val="28"/>
        </w:rPr>
        <w:t>. У девушек в возрасте 15-19 лет существенно выше вероятность развития эклампсии, послеродового эндометрита, инфекционных осложнений, а также психических расстройств, таких как депрессия и тревожность. В этой связи представляется важной реализация мер по снижению количества нежелательных беременностей и обеспечение более безопасного перехода к материнству для молодых девушек.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Учитывая, что переходный возраст сопровождается значительными физиологическими и психологическими изменениями, требующими внимательного медицинского наблюдения и просветительской работы, а также с целью обеспечения системного подхода к сохранению репродуктивного здоровья подростков участники мероприятия отметили целесообразность создания в субъектах Российской Федерации специализированных центров профилактики и оценки рисков, связанных с нарушениями репродуктивного здоровья подростков.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Создание таких центров предполагает проведение регулярных медицинских осмотров подростков, включающих оценку репродуктивного здоровья, консультирование по вопросам профилактики заболеваний, передающихся половым путем, и планирования семьи. Важным компонентом работы таких центров может стать предоставление подросткам и их родителям информации о физиологических изменениях в переходном возрасте, факторах риска для репродуктивного здоровья и методах их минимизации.</w:t>
      </w:r>
    </w:p>
    <w:p>
      <w:pPr>
        <w:pStyle w:val="ListParagraph"/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 мнению участников обсуждения, такие центры должны быть интегрированы в амбулаторно-поликлиническое звено и обеспечены необходимыми кадрами, включая детских и взрослых специалистов, что позволит организовать комплексный подход к медицинскому сопровождению подростков, в том числе в переходный период их взросления.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Наряду с изложенным участники мероприятия отметили важность усиления информационно-просветительской работы, направленной на формирование ответственного отношения к репродуктивному здоровью и повышение осведомленности о факторах риска, связанных с ранними половыми связями, незащищенным половым актом и их последствиями, среди всех категорий населения.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Особое внимание участники круглого стола обратили на необходимость выравнивания акцентов государственной политики в отношении репродуктивного здоровья мужчин и женщин.</w:t>
      </w:r>
    </w:p>
    <w:p>
      <w:pPr>
        <w:pStyle w:val="ListParagraph"/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Так, по мнению участников мероприятия, современная система охраны репродуктивного здоровья в значительной мере сосредоточена на проблемах женщин, тогда как вопросы мужского репродуктивного здоровья остаются недостаточно изученными и освещенными. Между тем, сохранение и восстановление репродуктивного здоровья мужчин является важнейшим фактором для обеспечения демографической стабильности, так как мужское бесплодие вносит значительный вклад в общую статистику бесплодных пар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19"/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Участники обсуждения отметили, что одним из основных препятствий для повышения качества мужского репродуктивного здоровья является низкий уровень информированности и ответственности мужчин за свое здоровье. Отсутствие систематического профилактического наблюдения и нежелание своевременно обращаться за медицинской помощью приводят к позднему выявлению заболеваний, таких как простатит, орхит и другие, что значительно осложняет их лечение и снижает шансы на успешное восстановление репродуктивной функции.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 устранения данных проблем участники круглого стола отметили необходимость внедрения обязательных мероприятий по ранней диагностике репродуктивных нарушений в рамках диспансеризации. В этой связи представляется важным: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дополнение методических рекомендаций по организации проведения диспансеризации определенных групп взрослого населения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20"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мероприятиями по раннему выявлению ухудшения репродуктивной функции, включая дополнение соответствующими вопросами формы анкеты (опроса) пациентов, а также памятками для пациентов о поддержании репродуктивной функции;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дополнение порядка проведения профилактического медицинского осмотра и диспансеризации определенных групп взрослого населения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21"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мероприятиями, направленными на раннюю диагностику ухудшения репродуктивной функции у мужчин, включая перечень обязательных обследований, анализов для мужского населения репродуктивного возраста и их периодичности, в том числе критерии проведения осмотра (консультации) врачом-урологом или специалистом по репродуктивному здоровью в рамках второго этапа диспансеризации;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дополнение перечня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врачом-терапевтом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22"/>
      </w:r>
      <w:r>
        <w:rPr>
          <w:rFonts w:eastAsia="Times New Roman" w:cs="Times New Roman" w:ascii="Times New Roman" w:hAnsi="Times New Roman"/>
          <w:sz w:val="28"/>
          <w:szCs w:val="28"/>
        </w:rPr>
        <w:t>, такими заболеваниями, как эндометриоз, аномальные маточные кровотечения, климактерический синдром, миома матки, с включением в состав мероприятий по диспансерному наблюдению обязательных консультаций с врачом-акушером-гинекологом.</w:t>
      </w:r>
    </w:p>
    <w:p>
      <w:pPr>
        <w:pStyle w:val="ListParagraph"/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Участники мероприятия подчеркнули также необходимость включения в форму медицинской карты пациента, получающего медицинскую помощь в амбулаторных условиях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23"/>
      </w:r>
      <w:r>
        <w:rPr>
          <w:rFonts w:eastAsia="Times New Roman" w:cs="Times New Roman" w:ascii="Times New Roman" w:hAnsi="Times New Roman"/>
          <w:sz w:val="28"/>
          <w:szCs w:val="28"/>
        </w:rPr>
        <w:t>, разделов, касающихся репродуктивного здоровья граждан. По их мнению, такие изменения могут позволить систематизировать сбор данных о состоянии репродуктивного здоровья пациентов, улучшить диагностику и выявление заболеваний на ранних стадиях, а также обеспечить непрерывность наблюдения за лицами с хроническими заболеваниями репродуктивной системы.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Кроме того, участники обсуждения поддержали инициативу по включению в программу государственных гарантий бесплатного оказания медицинской помощи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24"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таких мероприятий, как проведение экстракорпорального оплодотворения и преимплантационной генетической диагностики для женщин-носительниц наследственных заболеваний. По их мнению, доступность таких технологий за счет государственного финансирования может позволить не только повысить шансы на успешное лечение бесплодия, но и снизить риск передачи наследственных заболеваний будущим поколениям.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Реализация данных мер согласуется с национальными целями, одной из ключевых задач которых является 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25"/>
      </w:r>
      <w:r>
        <w:rPr>
          <w:rFonts w:eastAsia="Times New Roman" w:cs="Times New Roman" w:ascii="Times New Roman" w:hAnsi="Times New Roman"/>
          <w:sz w:val="28"/>
          <w:szCs w:val="28"/>
        </w:rPr>
        <w:t>, с приоритетами национальной демографической политики, направленной на стимулирование рождаемости и улучшение качества медицинской помощи в области репродуктивного здоровья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26"/>
      </w:r>
      <w:r>
        <w:rPr>
          <w:rFonts w:eastAsia="Times New Roman" w:cs="Times New Roman" w:ascii="Times New Roman" w:hAnsi="Times New Roman"/>
          <w:sz w:val="28"/>
          <w:szCs w:val="28"/>
        </w:rPr>
        <w:t>, а также с задачами пилотного проекта «Репродуктивное здоровье».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 xml:space="preserve">Учитывая изложенное, а также необходимость </w:t>
      </w:r>
      <w:r>
        <w:rPr>
          <w:rFonts w:eastAsia="Times New Roman" w:cs="Times New Roman" w:ascii="Times New Roman" w:hAnsi="Times New Roman"/>
          <w:sz w:val="28"/>
          <w:szCs w:val="28"/>
        </w:rPr>
        <w:t>сохранения и укрепления репродуктивного здоровья населения России</w:t>
      </w: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, Общественная палата рекомендует следующее.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bidi="ru-RU"/>
        </w:rPr>
        <w:t xml:space="preserve">Правительству Российской Федерации </w:t>
      </w:r>
      <w:r>
        <w:rPr>
          <w:rFonts w:eastAsia="Times New Roman" w:cs="Times New Roman" w:ascii="Times New Roman" w:hAnsi="Times New Roman"/>
          <w:bCs/>
          <w:sz w:val="28"/>
          <w:szCs w:val="28"/>
          <w:lang w:bidi="ru-RU"/>
        </w:rPr>
        <w:t>рассмотреть возможность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внесения изменений в программу государственных гарантий бесплатного оказания медицинской помощи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27"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части дополнения такими мероприятиями, как проведение экстракорпорального оплодотворения и преимплантационной генетической диагностики для женщин-носительниц наследственных заболеваний.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bidi="ru-RU"/>
        </w:rPr>
        <w:t>Правительству Российской Федерации совместно с в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ысшими должностными лицами субъектов Российской Федерации </w:t>
      </w:r>
      <w:r>
        <w:rPr>
          <w:rFonts w:eastAsia="Times New Roman" w:cs="Times New Roman" w:ascii="Times New Roman" w:hAnsi="Times New Roman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bCs/>
          <w:sz w:val="28"/>
          <w:szCs w:val="28"/>
          <w:lang w:bidi="ru-RU"/>
        </w:rPr>
        <w:t>ассмотреть возможность</w:t>
      </w: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 xml:space="preserve">Организации </w:t>
      </w:r>
      <w:r>
        <w:rPr>
          <w:rFonts w:eastAsia="Times New Roman" w:cs="Times New Roman" w:ascii="Times New Roman" w:hAnsi="Times New Roman"/>
          <w:bCs/>
          <w:sz w:val="28"/>
          <w:szCs w:val="28"/>
          <w:lang w:bidi="ru-RU"/>
        </w:rPr>
        <w:t>масштабирования типового пилотного проекта «Репродуктивное здоровье».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Усиления информационно-просветительской работы, направленной на повышение уровня и качества знаний граждан об охране репродуктивного здоровья и о профилактике нежелательной беременности среди подростков.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bidi="ru-RU"/>
        </w:rPr>
        <w:t xml:space="preserve">Министерству здравоохранения Российской Федерации </w:t>
      </w: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>рассмотреть возможность: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 xml:space="preserve">Внесения изменений в </w:t>
      </w:r>
      <w:r>
        <w:rPr>
          <w:rFonts w:eastAsia="Times New Roman" w:cs="Times New Roman" w:ascii="Times New Roman" w:hAnsi="Times New Roman"/>
          <w:sz w:val="28"/>
          <w:szCs w:val="28"/>
        </w:rPr>
        <w:t>порядок проведения профилактического медицинского осмотра и диспансеризации определенных групп взрослого населения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28"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части дополнения мероприятиями, направленными на раннюю диагностику ухудшения репродуктивной функции у мужчин, включая перечень обязательных обследований, анализов для мужского населения репродуктивного возраста и их периодичности, включая критерии проведения осмотра (консультации) врачом-урологом или специалистом по репродуктивному здоровью в рамках второго этапа диспансеризации.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Внесения изменений в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врачом-терапевтом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29"/>
      </w:r>
      <w:r>
        <w:rPr>
          <w:rFonts w:eastAsia="Times New Roman" w:cs="Times New Roman" w:ascii="Times New Roman" w:hAnsi="Times New Roman"/>
          <w:sz w:val="28"/>
          <w:szCs w:val="28"/>
        </w:rPr>
        <w:t>, в части дополнения такими заболеваниями, как эндометриоз, аномальные маточные кровотечения, климактерический синдром, миома матки, с включением в состав мероприятий по диспансерному наблюдению обязательных консультаций с врачом-акушером-гинекологом.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Внесения изменений в форму медицинской карты пациента, получающего медицинскую помощь в амбулаторных условиях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30"/>
      </w:r>
      <w:r>
        <w:rPr>
          <w:rFonts w:eastAsia="Times New Roman" w:cs="Times New Roman" w:ascii="Times New Roman" w:hAnsi="Times New Roman"/>
          <w:sz w:val="28"/>
          <w:szCs w:val="28"/>
        </w:rPr>
        <w:t>, в части дополнения разделами, касающимися репродуктивного здоровья граждан.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bidi="ru-RU"/>
        </w:rPr>
        <w:t>Министерству здравоохранения Российской Федерации</w:t>
      </w: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bidi="ru-RU"/>
        </w:rPr>
        <w:t>совместно с ФГБУ «Национальный медицинский исследовательский центр профилактической медицины»</w:t>
      </w:r>
      <w:r>
        <w:rPr>
          <w:rFonts w:eastAsia="Times New Roman" w:cs="Times New Roman" w:ascii="Times New Roman" w:hAnsi="Times New Roman"/>
          <w:sz w:val="28"/>
          <w:szCs w:val="28"/>
          <w:lang w:bidi="ru-RU"/>
        </w:rPr>
        <w:t xml:space="preserve"> рассмотреть возможность </w:t>
      </w:r>
      <w:r>
        <w:rPr>
          <w:rFonts w:eastAsia="Times New Roman" w:cs="Times New Roman" w:ascii="Times New Roman" w:hAnsi="Times New Roman"/>
          <w:sz w:val="28"/>
          <w:szCs w:val="28"/>
        </w:rPr>
        <w:t>внесения изменений в методические рекомендации по организации проведения диспансеризации определенных групп взрослого населения</w:t>
      </w:r>
      <w:r>
        <w:rPr>
          <w:rStyle w:val="FootnoteReference"/>
          <w:rFonts w:eastAsia="Times New Roman" w:cs="Times New Roman" w:ascii="Times New Roman" w:hAnsi="Times New Roman"/>
          <w:sz w:val="28"/>
          <w:szCs w:val="28"/>
        </w:rPr>
        <w:footnoteReference w:id="31"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части дополнения мероприятиями по раннему выявлению ухудшения репродуктивной функции, включая дополнение соответствующими вопросами формы анкеты (опроса) пациентов, а также дополнения памятками для пациентов о поддержании репродуктивной функции.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Высшим должностным лицам субъектов Российской Федерации </w:t>
      </w:r>
      <w:r>
        <w:rPr>
          <w:rFonts w:eastAsia="Times New Roman" w:cs="Times New Roman" w:ascii="Times New Roman" w:hAnsi="Times New Roman"/>
          <w:sz w:val="28"/>
          <w:szCs w:val="28"/>
        </w:rPr>
        <w:t>рассмотреть возможность создания центров профилактики и оценки рисков нарушения репродуктивного здоровья подростков в рамках амбулаторно-поликлинического звена с привлечением детских специалистов-гинекологов, урологов, андрологов и клинических психологов.</w:t>
      </w:r>
    </w:p>
    <w:sectPr>
      <w:headerReference w:type="default" r:id="rId2"/>
      <w:headerReference w:type="first" r:id="rId3"/>
      <w:footnotePr>
        <w:numFmt w:val="decimal"/>
      </w:footnotePr>
      <w:type w:val="nextPage"/>
      <w:pgSz w:w="11906" w:h="16838"/>
      <w:pgMar w:left="1418" w:right="680" w:gutter="0" w:header="709" w:top="1134" w:footer="0" w:bottom="1134"/>
      <w:pgNumType w:start="1"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 xml:space="preserve">В начале 2024 года Росстат опубликовал три варианта демографического прогноза до конца 2045 года, рассчитанных с учетом результатов Всероссийской переписи населения, которая проводилась в октябре-ноябре 2021 года. Так, к 1 января 2046 года, по прогнозу Росстата, население страны в среднем (базовом) сценарии сократится до 138,8 млн человек. В низком сценарии население страны к 2046 году упадет до 130,6 млн человек. В высоком сценарии население Российской Федерации вырастет к 2046 году до 150,9 млн человек. / </w:t>
      </w:r>
      <w:r>
        <w:rPr>
          <w:lang w:val="en-US"/>
        </w:rPr>
        <w:t>URL</w:t>
      </w:r>
      <w:r>
        <w:rPr/>
        <w:t xml:space="preserve">: </w:t>
      </w:r>
      <w:hyperlink r:id="rId1">
        <w:r>
          <w:rPr>
            <w:rStyle w:val="Hyperlink"/>
          </w:rPr>
          <w:t>https://rosstat.gov.ru/folder/313/document/220709</w:t>
        </w:r>
      </w:hyperlink>
      <w:r>
        <w:rPr/>
        <w:t>.</w:t>
      </w:r>
    </w:p>
  </w:footnote>
  <w:footnote w:id="3">
    <w:p>
      <w:pPr>
        <w:pStyle w:val="FootnoteText"/>
        <w:rPr>
          <w:rFonts w:cs="Times New Roman"/>
          <w:lang w:val="en-US"/>
        </w:rPr>
      </w:pPr>
      <w:r>
        <w:rPr>
          <w:rStyle w:val="Style11"/>
        </w:rPr>
        <w:footnoteRef/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Программа действий. Международная конференция по народонаселению и развитию. Каир: Фонд ООН в области народонаселения. 1994. </w:t>
      </w:r>
      <w:r>
        <w:rPr>
          <w:rFonts w:cs="Times New Roman"/>
          <w:lang w:val="en-US"/>
        </w:rPr>
        <w:t xml:space="preserve">URL: </w:t>
      </w:r>
      <w:hyperlink r:id="rId2">
        <w:r>
          <w:rPr>
            <w:rStyle w:val="Hyperlink"/>
            <w:rFonts w:cs="Times New Roman"/>
            <w:lang w:val="en-US"/>
          </w:rPr>
          <w:t>http://www.unfpa.org/sites/default/files/pub-pdf/ICPD-PoA-Ru-FINAL.pdf</w:t>
        </w:r>
      </w:hyperlink>
      <w:r>
        <w:rPr>
          <w:rFonts w:cs="Times New Roman"/>
          <w:lang w:val="en-US"/>
        </w:rPr>
        <w:t>.</w:t>
      </w:r>
    </w:p>
  </w:footnote>
  <w:footnote w:id="4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 xml:space="preserve">Данные Единой межведомственной информационно-статистической системы / </w:t>
      </w:r>
      <w:r>
        <w:rPr>
          <w:rFonts w:cs="Times New Roman"/>
          <w:lang w:val="en-US"/>
        </w:rPr>
        <w:t>URL</w:t>
      </w:r>
      <w:r>
        <w:rPr>
          <w:rFonts w:cs="Times New Roman"/>
        </w:rPr>
        <w:t>:</w:t>
      </w:r>
      <w:r>
        <w:rPr/>
        <w:t xml:space="preserve"> </w:t>
      </w:r>
      <w:hyperlink r:id="rId3">
        <w:r>
          <w:rPr>
            <w:rStyle w:val="Hyperlink"/>
            <w:rFonts w:cs="Times New Roman"/>
            <w:lang w:val="en-US"/>
          </w:rPr>
          <w:t>https</w:t>
        </w:r>
        <w:r>
          <w:rPr>
            <w:rStyle w:val="Hyperlink"/>
            <w:rFonts w:cs="Times New Roman"/>
          </w:rPr>
          <w:t>://</w:t>
        </w:r>
        <w:r>
          <w:rPr>
            <w:rStyle w:val="Hyperlink"/>
            <w:rFonts w:cs="Times New Roman"/>
            <w:lang w:val="en-US"/>
          </w:rPr>
          <w:t>www</w:t>
        </w:r>
        <w:r>
          <w:rPr>
            <w:rStyle w:val="Hyperlink"/>
            <w:rFonts w:cs="Times New Roman"/>
          </w:rPr>
          <w:t>.</w:t>
        </w:r>
        <w:r>
          <w:rPr>
            <w:rStyle w:val="Hyperlink"/>
            <w:rFonts w:cs="Times New Roman"/>
            <w:lang w:val="en-US"/>
          </w:rPr>
          <w:t>fedstat</w:t>
        </w:r>
        <w:r>
          <w:rPr>
            <w:rStyle w:val="Hyperlink"/>
            <w:rFonts w:cs="Times New Roman"/>
          </w:rPr>
          <w:t>.</w:t>
        </w:r>
        <w:r>
          <w:rPr>
            <w:rStyle w:val="Hyperlink"/>
            <w:rFonts w:cs="Times New Roman"/>
            <w:lang w:val="en-US"/>
          </w:rPr>
          <w:t>ru</w:t>
        </w:r>
        <w:r>
          <w:rPr>
            <w:rStyle w:val="Hyperlink"/>
            <w:rFonts w:cs="Times New Roman"/>
          </w:rPr>
          <w:t>/</w:t>
          <w:br/>
        </w:r>
        <w:r>
          <w:rPr>
            <w:rStyle w:val="Hyperlink"/>
            <w:rFonts w:cs="Times New Roman"/>
            <w:lang w:val="en-US"/>
          </w:rPr>
          <w:t>indicator</w:t>
        </w:r>
        <w:r>
          <w:rPr>
            <w:rStyle w:val="Hyperlink"/>
            <w:rFonts w:cs="Times New Roman"/>
          </w:rPr>
          <w:t>/55407</w:t>
        </w:r>
      </w:hyperlink>
      <w:r>
        <w:rPr>
          <w:rFonts w:cs="Times New Roman"/>
        </w:rPr>
        <w:t>.</w:t>
      </w:r>
    </w:p>
  </w:footnote>
  <w:footnote w:id="5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 xml:space="preserve">Для сохранения численности населения на одном уровне нужен суммарный коэффициент рождаемости около 2,1 рождения на одну женщину в течение жизни. / Демография 2030. Как обеспечить устойчивый рост населения Российской Федерации. Специальный доклад Общественной палаты Российской Федерации / С.И. Рыбальченко, А.В. Коротаев, И.А. Ефремов и др.; отв. ред. С.И. Рыбальченко; ОПРФ. – / М.: ООО «Пачоли Консалтинг», 2023. – / </w:t>
      </w:r>
      <w:hyperlink r:id="rId4">
        <w:r>
          <w:rPr>
            <w:rStyle w:val="Hyperlink"/>
          </w:rPr>
          <w:t>https://files.oprf.ru/storage/documents/doklad-demografiya-2030.pdf</w:t>
        </w:r>
      </w:hyperlink>
      <w:r>
        <w:rPr>
          <w:rFonts w:cs="Times New Roman"/>
        </w:rPr>
        <w:t>.</w:t>
      </w:r>
    </w:p>
  </w:footnote>
  <w:footnote w:id="6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hyperlink r:id="rId5">
        <w:r>
          <w:rPr>
            <w:rStyle w:val="Hyperlink"/>
            <w:lang w:val="en-US"/>
          </w:rPr>
          <w:t>https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iz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  <w:r>
          <w:rPr>
            <w:rStyle w:val="Hyperlink"/>
          </w:rPr>
          <w:t>/1676543/</w:t>
        </w:r>
        <w:r>
          <w:rPr>
            <w:rStyle w:val="Hyperlink"/>
            <w:lang w:val="en-US"/>
          </w:rPr>
          <w:t>sofiia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prokhorchuk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inogda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i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pozdno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minzdrav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nazval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glavnuiu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prichinu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besplodiia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v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rossii</w:t>
        </w:r>
      </w:hyperlink>
    </w:p>
  </w:footnote>
  <w:footnote w:id="7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hyperlink r:id="rId6">
        <w:r>
          <w:rPr>
            <w:rStyle w:val="Hyperlink"/>
          </w:rPr>
          <w:t>http://government.ru/news/46900/</w:t>
        </w:r>
      </w:hyperlink>
    </w:p>
  </w:footnote>
  <w:footnote w:id="8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>Распоряжение Правительства Камчатского края от 11 марта 2023 года № 99-РП.</w:t>
      </w:r>
    </w:p>
  </w:footnote>
  <w:footnote w:id="9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>Указ Президента Российской Федерации от 22 ноября 2023 года № 875 «О проведении в Российской Федерации Года семьи».</w:t>
      </w:r>
    </w:p>
  </w:footnote>
  <w:footnote w:id="10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hyperlink r:id="rId7">
        <w:r>
          <w:rPr>
            <w:rStyle w:val="Hyperlink"/>
          </w:rPr>
          <w:t>https://www.who.int/ru/news-room/fact-sheets/detail/sexually-transmitted-infections-(stis)</w:t>
        </w:r>
      </w:hyperlink>
    </w:p>
  </w:footnote>
  <w:footnote w:id="11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hyperlink r:id="rId8">
        <w:r>
          <w:rPr>
            <w:rStyle w:val="Hyperlink"/>
          </w:rPr>
          <w:t>http://www.hivrussia.info/wp-content/uploads/2024/09/spravka-vich-v-rossii-2023-god.pdf</w:t>
        </w:r>
      </w:hyperlink>
    </w:p>
  </w:footnote>
  <w:footnote w:id="12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hyperlink r:id="rId9">
        <w:r>
          <w:rPr>
            <w:rStyle w:val="Hyperlink"/>
          </w:rPr>
          <w:t>https://www.ecdc.europa.eu/en/publications-data/hivaids-surveillance-europe-2023-2022-data</w:t>
        </w:r>
      </w:hyperlink>
    </w:p>
  </w:footnote>
  <w:footnote w:id="13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>За 2023 год в России выявлено около 55 тыс. новых случаев заболевания – на 1,5</w:t>
      </w:r>
      <w:r>
        <w:rPr>
          <w:rFonts w:eastAsia="Times New Roman" w:cs="Times New Roman"/>
          <w:sz w:val="14"/>
          <w:szCs w:val="14"/>
        </w:rPr>
        <w:t> </w:t>
      </w:r>
      <w:r>
        <w:rPr/>
        <w:t xml:space="preserve">% меньше показателя предыдущего года. / </w:t>
      </w:r>
      <w:r>
        <w:rPr>
          <w:lang w:val="en-US"/>
        </w:rPr>
        <w:t>URL</w:t>
      </w:r>
      <w:r>
        <w:rPr/>
        <w:t xml:space="preserve">: </w:t>
      </w:r>
      <w:hyperlink r:id="rId10">
        <w:r>
          <w:rPr>
            <w:rStyle w:val="Hyperlink"/>
          </w:rPr>
          <w:t>https://www.kommersant.ru/doc/7327396</w:t>
        </w:r>
      </w:hyperlink>
      <w:r>
        <w:rPr/>
        <w:t>.</w:t>
      </w:r>
    </w:p>
  </w:footnote>
  <w:footnote w:id="14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hyperlink r:id="rId11">
        <w:r>
          <w:rPr>
            <w:rStyle w:val="Hyperlink"/>
            <w:lang w:val="en-US"/>
          </w:rPr>
          <w:t>https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tochno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st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materials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rozhayut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devochki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mladshe</w:t>
        </w:r>
        <w:r>
          <w:rPr>
            <w:rStyle w:val="Hyperlink"/>
          </w:rPr>
          <w:t>-18-</w:t>
        </w:r>
        <w:r>
          <w:rPr>
            <w:rStyle w:val="Hyperlink"/>
            <w:lang w:val="en-US"/>
          </w:rPr>
          <w:t>let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v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rossii</w:t>
        </w:r>
        <w:r>
          <w:rPr>
            <w:rStyle w:val="Hyperlink"/>
          </w:rPr>
          <w:t xml:space="preserve"> /</w:t>
        </w:r>
      </w:hyperlink>
      <w:r>
        <w:rPr/>
        <w:t xml:space="preserve"> Федеральный научно-методический Центр по профилактике и борьбе со СПИДом / </w:t>
      </w:r>
      <w:r>
        <w:rPr>
          <w:lang w:val="en-US"/>
        </w:rPr>
        <w:t>URL</w:t>
      </w:r>
      <w:r>
        <w:rPr/>
        <w:t xml:space="preserve">: </w:t>
      </w:r>
      <w:hyperlink r:id="rId12">
        <w:r>
          <w:rPr>
            <w:rStyle w:val="Hyperlink"/>
          </w:rPr>
          <w:t>http://www.hivrussia.info/</w:t>
        </w:r>
      </w:hyperlink>
      <w:r>
        <w:rPr/>
        <w:t>.</w:t>
      </w:r>
    </w:p>
  </w:footnote>
  <w:footnote w:id="15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 xml:space="preserve">Данные Росстата / </w:t>
      </w:r>
      <w:r>
        <w:rPr>
          <w:lang w:val="en-US"/>
        </w:rPr>
        <w:t>URL</w:t>
      </w:r>
      <w:r>
        <w:rPr/>
        <w:t xml:space="preserve">: </w:t>
      </w:r>
      <w:hyperlink r:id="rId13">
        <w:r>
          <w:rPr>
            <w:rStyle w:val="Hyperlink"/>
          </w:rPr>
          <w:t>https://rosstat.gov.ru/folder/12781</w:t>
        </w:r>
      </w:hyperlink>
      <w:r>
        <w:rPr/>
        <w:t>.</w:t>
      </w:r>
    </w:p>
  </w:footnote>
  <w:footnote w:id="16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 xml:space="preserve">Например, в 2023 году в Московской области 14-летняя девочка забеременела от 25-летнего парня. / </w:t>
      </w:r>
      <w:r>
        <w:rPr>
          <w:lang w:val="en-US"/>
        </w:rPr>
        <w:t>URL</w:t>
      </w:r>
      <w:r>
        <w:rPr/>
        <w:t xml:space="preserve">: </w:t>
      </w:r>
      <w:hyperlink r:id="rId14">
        <w:r>
          <w:rPr>
            <w:rStyle w:val="Hyperlink"/>
          </w:rPr>
          <w:t>https://www.gazeta.ru/social/news/2023/08/29/21171170.shtml</w:t>
        </w:r>
      </w:hyperlink>
      <w:r>
        <w:rPr/>
        <w:t>.</w:t>
      </w:r>
    </w:p>
  </w:footnote>
  <w:footnote w:id="17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 xml:space="preserve">Например, в 2022 году в Красноярске 11-летняя девочка забеременела от 15-летнего подростка. / </w:t>
      </w:r>
      <w:r>
        <w:rPr>
          <w:lang w:val="en-US"/>
        </w:rPr>
        <w:t>URL</w:t>
      </w:r>
      <w:r>
        <w:rPr/>
        <w:t xml:space="preserve">: </w:t>
      </w:r>
      <w:hyperlink r:id="rId15">
        <w:r>
          <w:rPr>
            <w:rStyle w:val="Hyperlink"/>
          </w:rPr>
          <w:t>https://www.kp.ru/daily/27383.5/4577671/</w:t>
        </w:r>
      </w:hyperlink>
      <w:r>
        <w:rPr/>
        <w:t>.</w:t>
      </w:r>
    </w:p>
  </w:footnote>
  <w:footnote w:id="18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>Жолондзиовская О.Э., Путилова Н.В., Шакиров Р.Т., Кинжалова С.В. Беременность и роды у юных женщин: факторы риска и особенности течения. Российский вестник акушера-гинеколога. 2021;21(5):84</w:t>
        <w:noBreakHyphen/>
        <w:t xml:space="preserve">89 / </w:t>
      </w:r>
      <w:r>
        <w:rPr>
          <w:lang w:val="en-US"/>
        </w:rPr>
        <w:t>URL</w:t>
      </w:r>
      <w:r>
        <w:rPr/>
        <w:t xml:space="preserve">: </w:t>
      </w:r>
      <w:hyperlink r:id="rId16">
        <w:r>
          <w:rPr>
            <w:rStyle w:val="Hyperlink"/>
            <w:lang w:val="en-US"/>
          </w:rPr>
          <w:t>https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doi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org</w:t>
        </w:r>
        <w:r>
          <w:rPr>
            <w:rStyle w:val="Hyperlink"/>
          </w:rPr>
          <w:t>/10.17116/</w:t>
        </w:r>
        <w:r>
          <w:rPr>
            <w:rStyle w:val="Hyperlink"/>
            <w:lang w:val="en-US"/>
          </w:rPr>
          <w:t>rosakush</w:t>
        </w:r>
        <w:r>
          <w:rPr>
            <w:rStyle w:val="Hyperlink"/>
          </w:rPr>
          <w:t>20212105184</w:t>
        </w:r>
      </w:hyperlink>
      <w:r>
        <w:rPr/>
        <w:t>.</w:t>
      </w:r>
    </w:p>
  </w:footnote>
  <w:footnote w:id="19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 xml:space="preserve">В 20-30% случаев причиной бесплодия является только мужской фактор. / </w:t>
      </w:r>
      <w:r>
        <w:rPr>
          <w:lang w:val="en-US"/>
        </w:rPr>
        <w:t>URL</w:t>
      </w:r>
      <w:r>
        <w:rPr/>
        <w:t xml:space="preserve">:  </w:t>
      </w:r>
      <w:hyperlink r:id="rId17">
        <w:r>
          <w:rPr>
            <w:rStyle w:val="Hyperlink"/>
          </w:rPr>
          <w:t>https://www.kommersant.ru/doc/6029968</w:t>
        </w:r>
      </w:hyperlink>
      <w:r>
        <w:rPr/>
        <w:t>.</w:t>
      </w:r>
    </w:p>
  </w:footnote>
  <w:footnote w:id="20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>Организация проведения профилактического медицинского осмотра и диспансеризации определенных групп взрослого населения. Методические рекомендации, утвержденные Минздравом России 22 октября 2019 года.</w:t>
      </w:r>
    </w:p>
  </w:footnote>
  <w:footnote w:id="21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>Утвержден приказом Минздрава России от 27 апреля 2021 года № 404н.</w:t>
      </w:r>
    </w:p>
  </w:footnote>
  <w:footnote w:id="22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>Приложение № 1 к приказу Минздрава России от 15 марта 2022 года № 168н «Об утверждении порядка проведения диспансерного наблюдения за взрослыми».</w:t>
      </w:r>
    </w:p>
  </w:footnote>
  <w:footnote w:id="23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>Приложение № 1 к приказу Минздрава России 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</w:footnote>
  <w:footnote w:id="24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>Утверждена постановлением Правительства Российской Федерации от 28 декабря 2023 года № 2353.</w:t>
      </w:r>
    </w:p>
  </w:footnote>
  <w:footnote w:id="25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>Подпункт «а» пункта 2 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года».</w:t>
      </w:r>
    </w:p>
  </w:footnote>
  <w:footnote w:id="26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 xml:space="preserve">Согласно проекту стратегии действий по реализации семейной и демографической политики, поддержке многодетности, разработанному Минтрудом России по поручению Президента Российской Федерации. / </w:t>
      </w:r>
      <w:r>
        <w:rPr>
          <w:lang w:val="en-US"/>
        </w:rPr>
        <w:t>URL</w:t>
      </w:r>
      <w:r>
        <w:rPr/>
        <w:t xml:space="preserve">:  </w:t>
      </w:r>
      <w:hyperlink r:id="rId18">
        <w:r>
          <w:rPr>
            <w:rStyle w:val="Hyperlink"/>
          </w:rPr>
          <w:t>https://mintrud.gov.ru/social/demography/152</w:t>
        </w:r>
      </w:hyperlink>
      <w:r>
        <w:rPr/>
        <w:t>.</w:t>
      </w:r>
    </w:p>
  </w:footnote>
  <w:footnote w:id="27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>Утверждена постановлением Правительства Российской Федерации от 28 декабря 2023 года № 2353.</w:t>
      </w:r>
    </w:p>
  </w:footnote>
  <w:footnote w:id="28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>Утвержден приказом Минздрава России от 27 апреля 2021 года № 404н.</w:t>
      </w:r>
    </w:p>
  </w:footnote>
  <w:footnote w:id="29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>Приложение № 1 к приказу Минздрава России от 15 марта 2022 года № 168н «Об утверждении порядка проведения диспансерного наблюдения за взрослыми».</w:t>
      </w:r>
    </w:p>
  </w:footnote>
  <w:footnote w:id="30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>Приложение № 1 к приказу Минздрава России 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</w:footnote>
  <w:footnote w:id="31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/>
        <w:t>Организация проведения профилактического медицинского осмотра и диспансеризации определенных групп взрослого населения. Методические рекомендации, утвержденные Минздравом России 22 октября 2019 года.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Cs w:val="28"/>
      </w:rPr>
    </w:pPr>
    <w:r>
      <w:rPr>
        <w:rFonts w:eastAsia="Times New Roman" w:cs="Times New Roman" w:ascii="Times New Roman" w:hAnsi="Times New Roman"/>
        <w:color w:val="000000"/>
        <w:szCs w:val="28"/>
      </w:rPr>
      <w:fldChar w:fldCharType="begin"/>
    </w:r>
    <w:r>
      <w:rPr>
        <w:szCs w:val="28"/>
        <w:rFonts w:eastAsia="Times New Roman" w:cs="Times New Roman" w:ascii="Times New Roman" w:hAnsi="Times New Roman"/>
        <w:color w:val="000000"/>
      </w:rPr>
      <w:instrText xml:space="preserve"> PAGE </w:instrText>
    </w:r>
    <w:r>
      <w:rPr>
        <w:szCs w:val="28"/>
        <w:rFonts w:eastAsia="Times New Roman" w:cs="Times New Roman" w:ascii="Times New Roman" w:hAnsi="Times New Roman"/>
        <w:color w:val="000000"/>
      </w:rPr>
      <w:fldChar w:fldCharType="separate"/>
    </w:r>
    <w:r>
      <w:rPr>
        <w:szCs w:val="28"/>
        <w:rFonts w:eastAsia="Times New Roman" w:cs="Times New Roman" w:ascii="Times New Roman" w:hAnsi="Times New Roman"/>
        <w:color w:val="000000"/>
      </w:rPr>
      <w:t>11</w:t>
    </w:r>
    <w:r>
      <w:rPr>
        <w:szCs w:val="28"/>
        <w:rFonts w:eastAsia="Times New Roman" w:cs="Times New Roman" w:ascii="Times New Roman" w:hAnsi="Times New Roman"/>
        <w:color w:val="000000"/>
      </w:rPr>
      <w:fldChar w:fldCharType="end"/>
    </w:r>
  </w:p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rPr>
        <w:color w:val="000000"/>
        <w:sz w:val="18"/>
      </w:rPr>
    </w:pPr>
    <w:r>
      <w:rPr>
        <w:color w:val="000000"/>
        <w:sz w:val="1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sid w:val="00186c31"/>
    <w:rPr/>
  </w:style>
  <w:style w:type="character" w:styleId="Style9" w:customStyle="1">
    <w:name w:val="Нижний колонтитул Знак"/>
    <w:basedOn w:val="DefaultParagraphFont"/>
    <w:uiPriority w:val="99"/>
    <w:qFormat/>
    <w:rsid w:val="00186c31"/>
    <w:rPr/>
  </w:style>
  <w:style w:type="character" w:styleId="Style10" w:customStyle="1">
    <w:name w:val="Текст сноски Знак"/>
    <w:uiPriority w:val="99"/>
    <w:qFormat/>
    <w:rsid w:val="005b5bff"/>
    <w:rPr>
      <w:rFonts w:ascii="Times New Roman" w:hAnsi="Times New Roman"/>
    </w:rPr>
  </w:style>
  <w:style w:type="character" w:styleId="Style11">
    <w:name w:val="Символ сноски"/>
    <w:uiPriority w:val="99"/>
    <w:semiHidden/>
    <w:unhideWhenUsed/>
    <w:qFormat/>
    <w:rsid w:val="00ff743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uiPriority w:val="99"/>
    <w:unhideWhenUsed/>
    <w:rsid w:val="00e36ba8"/>
    <w:rPr>
      <w:color w:val="0563C1"/>
      <w:u w:val="single"/>
    </w:rPr>
  </w:style>
  <w:style w:type="character" w:styleId="Annotationreference">
    <w:name w:val="annotation reference"/>
    <w:uiPriority w:val="99"/>
    <w:semiHidden/>
    <w:unhideWhenUsed/>
    <w:qFormat/>
    <w:rsid w:val="00d853f5"/>
    <w:rPr>
      <w:sz w:val="16"/>
      <w:szCs w:val="16"/>
    </w:rPr>
  </w:style>
  <w:style w:type="character" w:styleId="Style12" w:customStyle="1">
    <w:name w:val="Текст примечания Знак"/>
    <w:link w:val="Annotationtext"/>
    <w:uiPriority w:val="99"/>
    <w:qFormat/>
    <w:rsid w:val="00d853f5"/>
    <w:rPr>
      <w:sz w:val="20"/>
      <w:szCs w:val="20"/>
    </w:rPr>
  </w:style>
  <w:style w:type="character" w:styleId="Style13" w:customStyle="1">
    <w:name w:val="Тема примечания Знак"/>
    <w:link w:val="Annotationsubject"/>
    <w:uiPriority w:val="99"/>
    <w:semiHidden/>
    <w:qFormat/>
    <w:rsid w:val="00d853f5"/>
    <w:rPr>
      <w:b/>
      <w:bCs/>
      <w:sz w:val="20"/>
      <w:szCs w:val="20"/>
    </w:rPr>
  </w:style>
  <w:style w:type="character" w:styleId="Style14" w:customStyle="1">
    <w:name w:val="Текст выноски Знак"/>
    <w:link w:val="BalloonText"/>
    <w:uiPriority w:val="99"/>
    <w:semiHidden/>
    <w:qFormat/>
    <w:rsid w:val="00d853f5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ea480d"/>
    <w:rPr>
      <w:color w:val="954F72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d15a1a"/>
    <w:rPr>
      <w:color w:val="605E5C"/>
      <w:shd w:fill="E1DFDD" w:val="clear"/>
    </w:rPr>
  </w:style>
  <w:style w:type="character" w:styleId="EndnoteReference">
    <w:name w:val="Endnote Reference"/>
    <w:rPr>
      <w:vertAlign w:val="superscript"/>
    </w:rPr>
  </w:style>
  <w:style w:type="character" w:styleId="Style15">
    <w:name w:val="Символ концевой сноск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rsid w:val="00186c31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rsid w:val="00186c31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0"/>
    <w:uiPriority w:val="99"/>
    <w:unhideWhenUsed/>
    <w:rsid w:val="005b5bff"/>
    <w:pPr>
      <w:spacing w:lineRule="auto" w:line="240" w:before="0" w:after="0"/>
      <w:jc w:val="both"/>
    </w:pPr>
    <w:rPr>
      <w:rFonts w:ascii="Times New Roman" w:hAnsi="Times New Roman"/>
      <w:sz w:val="20"/>
      <w:szCs w:val="20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Style12"/>
    <w:uiPriority w:val="99"/>
    <w:unhideWhenUsed/>
    <w:qFormat/>
    <w:rsid w:val="00d853f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3"/>
    <w:uiPriority w:val="99"/>
    <w:semiHidden/>
    <w:unhideWhenUsed/>
    <w:qFormat/>
    <w:rsid w:val="00d853f5"/>
    <w:pPr/>
    <w:rPr>
      <w:b/>
      <w:bCs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853f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06b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5c7260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730614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b13c8c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a4d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rosstat.gov.ru/folder/313/document/220709" TargetMode="External"/><Relationship Id="rId2" Type="http://schemas.openxmlformats.org/officeDocument/2006/relationships/hyperlink" Target="http://www.unfpa.org/sites/default/files/pub-pdf/ICPD-PoA-Ru-FINAL.pdf" TargetMode="External"/><Relationship Id="rId3" Type="http://schemas.openxmlformats.org/officeDocument/2006/relationships/hyperlink" Target="https://www.fedstat.ru/indicator/55407" TargetMode="External"/><Relationship Id="rId4" Type="http://schemas.openxmlformats.org/officeDocument/2006/relationships/hyperlink" Target="https://files.oprf.ru/storage/documents/doklad-demografiya-2030.pdf" TargetMode="External"/><Relationship Id="rId5" Type="http://schemas.openxmlformats.org/officeDocument/2006/relationships/hyperlink" Target="https://iz.ru/1676543/sofiia-prokhorchuk/inogda-i-pozdno-minzdrav-nazval-glavnuiu-prichinu-besplodiia-v-rossii" TargetMode="External"/><Relationship Id="rId6" Type="http://schemas.openxmlformats.org/officeDocument/2006/relationships/hyperlink" Target="http://government.ru/news/46900/" TargetMode="External"/><Relationship Id="rId7" Type="http://schemas.openxmlformats.org/officeDocument/2006/relationships/hyperlink" Target="https://www.who.int/ru/news-room/fact-sheets/detail/sexually-transmitted-infections-(stis)" TargetMode="External"/><Relationship Id="rId8" Type="http://schemas.openxmlformats.org/officeDocument/2006/relationships/hyperlink" Target="http://www.hivrussia.info/wp-content/uploads/2024/09/spravka-vich-v-rossii-2023-god.pdf" TargetMode="External"/><Relationship Id="rId9" Type="http://schemas.openxmlformats.org/officeDocument/2006/relationships/hyperlink" Target="https://www.ecdc.europa.eu/en/publications-data/hivaids-surveillance-europe-2023-2022-data" TargetMode="External"/><Relationship Id="rId10" Type="http://schemas.openxmlformats.org/officeDocument/2006/relationships/hyperlink" Target="https://www.kommersant.ru/doc/7327396" TargetMode="External"/><Relationship Id="rId11" Type="http://schemas.openxmlformats.org/officeDocument/2006/relationships/hyperlink" Target="https://tochno.st/materials/rozhayut-devochki-mladshe-18-let-v-rossii /" TargetMode="External"/><Relationship Id="rId12" Type="http://schemas.openxmlformats.org/officeDocument/2006/relationships/hyperlink" Target="http://www.hivrussia.info/" TargetMode="External"/><Relationship Id="rId13" Type="http://schemas.openxmlformats.org/officeDocument/2006/relationships/hyperlink" Target="https://rosstat.gov.ru/folder/12781" TargetMode="External"/><Relationship Id="rId14" Type="http://schemas.openxmlformats.org/officeDocument/2006/relationships/hyperlink" Target="https://www.gazeta.ru/social/news/2023/08/29/21171170.shtml" TargetMode="External"/><Relationship Id="rId15" Type="http://schemas.openxmlformats.org/officeDocument/2006/relationships/hyperlink" Target="https://www.kp.ru/daily/27383.5/4577671/" TargetMode="External"/><Relationship Id="rId16" Type="http://schemas.openxmlformats.org/officeDocument/2006/relationships/hyperlink" Target="https://doi.org/10.17116/rosakush20212105184" TargetMode="External"/><Relationship Id="rId17" Type="http://schemas.openxmlformats.org/officeDocument/2006/relationships/hyperlink" Target="https://www.kommersant.ru/doc/6029968" TargetMode="External"/><Relationship Id="rId18" Type="http://schemas.openxmlformats.org/officeDocument/2006/relationships/hyperlink" Target="https://mintrud.gov.ru/social/demography/152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l7mhK8TC9dOr0kDrPza/D1COxug==">CgMxLjAyCGguZ2pkZ3hzOAByITF0OHVTSGdYLVQ2dlJzUGZybDBqeWxob2JtUExXSEVJTw==</go:docsCustomData>
</go:gDocsCustomXmlDataStorage>
</file>

<file path=customXml/itemProps1.xml><?xml version="1.0" encoding="utf-8"?>
<ds:datastoreItem xmlns:ds="http://schemas.openxmlformats.org/officeDocument/2006/customXml" ds:itemID="{74637AD2-9B5B-4874-AC9E-4B2241B7D7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Application>LibreOffice/7.6.3.2$Windows_X86_64 LibreOffice_project/29d686fea9f6705b262d369fede658f824154cc0</Application>
  <AppVersion>15.0000</AppVersion>
  <Pages>11</Pages>
  <Words>2528</Words>
  <Characters>19621</Characters>
  <CharactersWithSpaces>22106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2025-02-03T11:22:00Z</dcterms:created>
  <dc:creator>Корж Денис Викторович</dc:creator>
  <dc:description/>
  <dc:language>ru-RU</dc:language>
  <cp:lastModifiedBy/>
  <cp:lastPrinted>2025-01-20T12:45:00Z</cp:lastPrinted>
  <dcterms:modified xsi:type="dcterms:W3CDTF">2025-02-19T20:41:09Z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